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8893" w14:textId="77777777" w:rsidR="00451467" w:rsidRPr="002F4A74" w:rsidRDefault="00451467" w:rsidP="007B3EFB">
      <w:pPr>
        <w:jc w:val="right"/>
        <w:rPr>
          <w:sz w:val="22"/>
          <w:szCs w:val="22"/>
        </w:rPr>
      </w:pPr>
    </w:p>
    <w:p w14:paraId="19A6AE46" w14:textId="4149D157" w:rsidR="00451467" w:rsidRPr="002F4A74" w:rsidRDefault="008265D9" w:rsidP="00451467">
      <w:pPr>
        <w:rPr>
          <w:sz w:val="22"/>
          <w:szCs w:val="22"/>
        </w:rPr>
      </w:pPr>
      <w:r w:rsidRPr="002F4A74">
        <w:rPr>
          <w:sz w:val="22"/>
          <w:szCs w:val="22"/>
        </w:rPr>
        <w:tab/>
      </w:r>
      <w:r w:rsidRPr="002F4A74">
        <w:rPr>
          <w:sz w:val="22"/>
          <w:szCs w:val="22"/>
        </w:rPr>
        <w:tab/>
      </w:r>
      <w:r w:rsidRPr="002F4A74">
        <w:rPr>
          <w:sz w:val="22"/>
          <w:szCs w:val="22"/>
        </w:rPr>
        <w:tab/>
      </w:r>
      <w:r w:rsidRPr="002F4A74">
        <w:rPr>
          <w:sz w:val="22"/>
          <w:szCs w:val="22"/>
        </w:rPr>
        <w:tab/>
      </w:r>
      <w:r w:rsidRPr="002F4A74">
        <w:rPr>
          <w:sz w:val="22"/>
          <w:szCs w:val="22"/>
        </w:rPr>
        <w:tab/>
      </w:r>
      <w:r w:rsidRPr="002F4A74">
        <w:rPr>
          <w:sz w:val="22"/>
          <w:szCs w:val="22"/>
        </w:rPr>
        <w:tab/>
      </w:r>
      <w:r w:rsidRPr="002F4A74">
        <w:rPr>
          <w:sz w:val="22"/>
          <w:szCs w:val="22"/>
        </w:rPr>
        <w:tab/>
      </w:r>
    </w:p>
    <w:p w14:paraId="00F4E805" w14:textId="77777777" w:rsidR="00451467" w:rsidRPr="002F4A74" w:rsidRDefault="0095016C" w:rsidP="006C0F7C">
      <w:pPr>
        <w:jc w:val="center"/>
        <w:rPr>
          <w:b/>
          <w:bCs/>
          <w:sz w:val="36"/>
          <w:szCs w:val="36"/>
        </w:rPr>
      </w:pPr>
      <w:r w:rsidRPr="002F4A74">
        <w:rPr>
          <w:b/>
          <w:bCs/>
          <w:sz w:val="36"/>
          <w:szCs w:val="36"/>
        </w:rPr>
        <w:t>OŚWIADCZENIE WERYFIKUJĄCE STATUS PRZEDSIĘBIORCY</w:t>
      </w:r>
    </w:p>
    <w:p w14:paraId="4E75AC4E" w14:textId="77777777" w:rsidR="00451467" w:rsidRPr="002F4A74" w:rsidRDefault="00451467" w:rsidP="00451467">
      <w:pPr>
        <w:jc w:val="center"/>
        <w:rPr>
          <w:b/>
          <w:bCs/>
          <w:sz w:val="36"/>
          <w:szCs w:val="36"/>
        </w:rPr>
      </w:pPr>
    </w:p>
    <w:p w14:paraId="136017CA" w14:textId="5DBB4714" w:rsidR="00045258" w:rsidRPr="002F4A74" w:rsidRDefault="006C0F7C" w:rsidP="00451467">
      <w:pPr>
        <w:jc w:val="center"/>
        <w:rPr>
          <w:szCs w:val="24"/>
        </w:rPr>
      </w:pPr>
      <w:r w:rsidRPr="002F4A74">
        <w:rPr>
          <w:szCs w:val="24"/>
        </w:rPr>
        <w:t>W związku z ubieganiem się o przyznanie pożyczki w Opolskim Regionalnym Funduszu Rozwoju Sp. z o.o. w Opolu</w:t>
      </w:r>
    </w:p>
    <w:p w14:paraId="74EEEA72" w14:textId="77777777" w:rsidR="00160D60" w:rsidRPr="002F4A74" w:rsidRDefault="00160D60" w:rsidP="00C300C0">
      <w:pPr>
        <w:rPr>
          <w:b/>
          <w:bCs/>
          <w:sz w:val="36"/>
          <w:szCs w:val="36"/>
        </w:rPr>
      </w:pPr>
    </w:p>
    <w:p w14:paraId="1D5CAE97" w14:textId="77777777" w:rsidR="006C0F7C" w:rsidRPr="002F4A74" w:rsidRDefault="006C0F7C" w:rsidP="006C0F7C">
      <w:pPr>
        <w:jc w:val="right"/>
        <w:rPr>
          <w:i/>
          <w:szCs w:val="24"/>
        </w:rPr>
      </w:pPr>
    </w:p>
    <w:p w14:paraId="0B025E63" w14:textId="584D0243" w:rsidR="006C0F7C" w:rsidRPr="002F4A74" w:rsidRDefault="006C0F7C" w:rsidP="006C0F7C">
      <w:pPr>
        <w:jc w:val="right"/>
        <w:rPr>
          <w:i/>
          <w:szCs w:val="24"/>
        </w:rPr>
      </w:pPr>
      <w:r w:rsidRPr="002F4A74">
        <w:rPr>
          <w:i/>
          <w:szCs w:val="24"/>
        </w:rPr>
        <w:t>(miejsce i data)</w:t>
      </w:r>
    </w:p>
    <w:p w14:paraId="0CA51B71" w14:textId="77777777" w:rsidR="00160D60" w:rsidRPr="002F4A74" w:rsidRDefault="00160D60" w:rsidP="00451467">
      <w:pPr>
        <w:jc w:val="center"/>
        <w:rPr>
          <w:b/>
          <w:bCs/>
          <w:sz w:val="36"/>
          <w:szCs w:val="36"/>
        </w:rPr>
      </w:pPr>
    </w:p>
    <w:p w14:paraId="4B00B0EA" w14:textId="77777777" w:rsidR="00160D60" w:rsidRPr="002F4A74" w:rsidRDefault="00160D60" w:rsidP="00451467">
      <w:pPr>
        <w:jc w:val="center"/>
        <w:rPr>
          <w:b/>
          <w:bCs/>
          <w:sz w:val="36"/>
          <w:szCs w:val="36"/>
        </w:rPr>
      </w:pPr>
    </w:p>
    <w:p w14:paraId="748FDD3E" w14:textId="621EABD9" w:rsidR="00451467" w:rsidRPr="002F4A74" w:rsidRDefault="00601AFF" w:rsidP="00451467">
      <w:pPr>
        <w:rPr>
          <w:sz w:val="22"/>
          <w:szCs w:val="22"/>
        </w:rPr>
      </w:pPr>
      <w:r w:rsidRPr="002F4A74">
        <w:rPr>
          <w:sz w:val="22"/>
          <w:szCs w:val="22"/>
        </w:rPr>
        <w:t>……………………………………………………………………………………………………………</w:t>
      </w:r>
    </w:p>
    <w:p w14:paraId="42B0ED27" w14:textId="56236A7E" w:rsidR="007552B0" w:rsidRPr="002F4A74" w:rsidRDefault="007552B0" w:rsidP="00451467">
      <w:pPr>
        <w:rPr>
          <w:sz w:val="22"/>
          <w:szCs w:val="22"/>
        </w:rPr>
      </w:pPr>
    </w:p>
    <w:p w14:paraId="04E34B0D" w14:textId="77777777" w:rsidR="006C0F7C" w:rsidRPr="002F4A74" w:rsidRDefault="00451467" w:rsidP="00601AFF">
      <w:pPr>
        <w:ind w:left="2832"/>
        <w:rPr>
          <w:i/>
          <w:szCs w:val="24"/>
        </w:rPr>
      </w:pPr>
      <w:r w:rsidRPr="002F4A74">
        <w:rPr>
          <w:i/>
          <w:szCs w:val="24"/>
        </w:rPr>
        <w:t xml:space="preserve">Nazwa i adres </w:t>
      </w:r>
      <w:r w:rsidR="00E25B84" w:rsidRPr="002F4A74">
        <w:rPr>
          <w:i/>
          <w:szCs w:val="24"/>
        </w:rPr>
        <w:t>wnioskodawcy</w:t>
      </w:r>
    </w:p>
    <w:p w14:paraId="21972546" w14:textId="3E576DB8" w:rsidR="006C0F7C" w:rsidRPr="002F4A74" w:rsidRDefault="006C0F7C" w:rsidP="006C0F7C">
      <w:pPr>
        <w:ind w:left="2832"/>
        <w:jc w:val="center"/>
        <w:rPr>
          <w:i/>
          <w:szCs w:val="24"/>
        </w:rPr>
      </w:pPr>
      <w:r w:rsidRPr="002F4A74">
        <w:rPr>
          <w:i/>
          <w:szCs w:val="24"/>
        </w:rPr>
        <w:t xml:space="preserve">oświadcza, </w:t>
      </w:r>
      <w:r w:rsidR="00601AFF" w:rsidRPr="002F4A74">
        <w:rPr>
          <w:i/>
          <w:szCs w:val="24"/>
        </w:rPr>
        <w:t>że jest:</w:t>
      </w:r>
      <w:r w:rsidR="00451467" w:rsidRPr="002F4A74">
        <w:rPr>
          <w:i/>
          <w:szCs w:val="24"/>
        </w:rPr>
        <w:tab/>
      </w:r>
      <w:r w:rsidR="00451467" w:rsidRPr="002F4A74">
        <w:rPr>
          <w:i/>
          <w:szCs w:val="24"/>
        </w:rPr>
        <w:tab/>
      </w:r>
      <w:r w:rsidR="00451467" w:rsidRPr="002F4A74">
        <w:rPr>
          <w:i/>
          <w:szCs w:val="24"/>
        </w:rPr>
        <w:tab/>
      </w:r>
      <w:r w:rsidR="00451467" w:rsidRPr="002F4A74">
        <w:rPr>
          <w:i/>
          <w:szCs w:val="24"/>
        </w:rPr>
        <w:tab/>
      </w:r>
      <w:r w:rsidR="00451467" w:rsidRPr="002F4A74">
        <w:rPr>
          <w:i/>
          <w:szCs w:val="24"/>
        </w:rPr>
        <w:tab/>
      </w:r>
      <w:r w:rsidR="00451467" w:rsidRPr="002F4A74">
        <w:rPr>
          <w:i/>
          <w:szCs w:val="24"/>
        </w:rPr>
        <w:tab/>
      </w:r>
    </w:p>
    <w:p w14:paraId="7660D011" w14:textId="3B18FF2A" w:rsidR="008F7A40" w:rsidRPr="002F4A74" w:rsidRDefault="008F7A40" w:rsidP="008F7A40">
      <w:pPr>
        <w:autoSpaceDE w:val="0"/>
        <w:autoSpaceDN w:val="0"/>
        <w:adjustRightInd w:val="0"/>
        <w:ind w:left="6372" w:firstLine="708"/>
        <w:rPr>
          <w:i/>
          <w:iCs/>
        </w:rPr>
      </w:pPr>
    </w:p>
    <w:p w14:paraId="4901C77F" w14:textId="16E30A03" w:rsidR="00601AFF" w:rsidRPr="002F4A74" w:rsidRDefault="00601AFF" w:rsidP="00A616F3">
      <w:pPr>
        <w:autoSpaceDE w:val="0"/>
        <w:autoSpaceDN w:val="0"/>
        <w:adjustRightInd w:val="0"/>
        <w:jc w:val="both"/>
      </w:pPr>
      <w:r w:rsidRPr="002F4A74">
        <w:t xml:space="preserve">mikroprzedsiebiorcą </w:t>
      </w:r>
      <w:r w:rsidRPr="002F4A74">
        <w:tab/>
      </w:r>
      <w:r w:rsidRPr="002F4A74">
        <w:tab/>
        <w:t xml:space="preserve"> []</w:t>
      </w:r>
    </w:p>
    <w:p w14:paraId="038D6C86" w14:textId="6389105E" w:rsidR="00601AFF" w:rsidRPr="002F4A74" w:rsidRDefault="00601AFF" w:rsidP="00601AFF">
      <w:pPr>
        <w:autoSpaceDE w:val="0"/>
        <w:autoSpaceDN w:val="0"/>
        <w:adjustRightInd w:val="0"/>
        <w:jc w:val="both"/>
      </w:pPr>
    </w:p>
    <w:p w14:paraId="71659AFF" w14:textId="07E1D641" w:rsidR="00601AFF" w:rsidRPr="002F4A74" w:rsidRDefault="00601AFF" w:rsidP="00601AFF">
      <w:pPr>
        <w:autoSpaceDE w:val="0"/>
        <w:autoSpaceDN w:val="0"/>
        <w:adjustRightInd w:val="0"/>
        <w:jc w:val="both"/>
      </w:pPr>
      <w:r w:rsidRPr="002F4A74">
        <w:t>małym przedsiębiorcą</w:t>
      </w:r>
      <w:r w:rsidRPr="002F4A74">
        <w:tab/>
        <w:t xml:space="preserve"> []</w:t>
      </w:r>
    </w:p>
    <w:p w14:paraId="4941DA2E" w14:textId="7E5BE84E" w:rsidR="00601AFF" w:rsidRPr="002F4A74" w:rsidRDefault="00601AFF" w:rsidP="00601AFF">
      <w:pPr>
        <w:autoSpaceDE w:val="0"/>
        <w:autoSpaceDN w:val="0"/>
        <w:adjustRightInd w:val="0"/>
        <w:jc w:val="both"/>
      </w:pPr>
    </w:p>
    <w:p w14:paraId="26EBF11F" w14:textId="47DBDCC9" w:rsidR="00601AFF" w:rsidRPr="002F4A74" w:rsidRDefault="00601AFF" w:rsidP="00601AFF">
      <w:pPr>
        <w:autoSpaceDE w:val="0"/>
        <w:autoSpaceDN w:val="0"/>
        <w:adjustRightInd w:val="0"/>
        <w:jc w:val="both"/>
      </w:pPr>
      <w:r w:rsidRPr="002F4A74">
        <w:t xml:space="preserve">średnim przedsiębiorcą </w:t>
      </w:r>
      <w:r w:rsidRPr="002F4A74">
        <w:tab/>
        <w:t xml:space="preserve"> []</w:t>
      </w:r>
    </w:p>
    <w:p w14:paraId="7490F259" w14:textId="77AE234F" w:rsidR="00601AFF" w:rsidRPr="002F4A74" w:rsidRDefault="00601AFF" w:rsidP="00601AFF">
      <w:pPr>
        <w:autoSpaceDE w:val="0"/>
        <w:autoSpaceDN w:val="0"/>
        <w:adjustRightInd w:val="0"/>
        <w:jc w:val="both"/>
      </w:pPr>
    </w:p>
    <w:p w14:paraId="6E8D8BF3" w14:textId="02F9989F" w:rsidR="00601AFF" w:rsidRPr="002F4A74" w:rsidRDefault="00601AFF" w:rsidP="00601AFF">
      <w:pPr>
        <w:autoSpaceDE w:val="0"/>
        <w:autoSpaceDN w:val="0"/>
        <w:adjustRightInd w:val="0"/>
        <w:jc w:val="both"/>
      </w:pPr>
      <w:r w:rsidRPr="002F4A74">
        <w:t>spełniającym warunki określone w Załączniku 1 do rozporządzenia Komisji (UE) nr 651/2014 z dnia 17 czerwca 2014 r. uznającego niektóre rodzaje pomocy za zgodne z rynkiem wewnętrznym w zastosowaniu art. 107 i 108 Traktatu. (Dz. Urz. UE L187 z 26.06.2014 r.).</w:t>
      </w:r>
    </w:p>
    <w:p w14:paraId="7B1B0872" w14:textId="77777777" w:rsidR="008F7A40" w:rsidRPr="002F4A74" w:rsidRDefault="008F7A40" w:rsidP="008F7A40">
      <w:pPr>
        <w:autoSpaceDE w:val="0"/>
        <w:autoSpaceDN w:val="0"/>
        <w:adjustRightInd w:val="0"/>
        <w:rPr>
          <w:i/>
          <w:iCs/>
          <w:szCs w:val="24"/>
        </w:rPr>
      </w:pPr>
    </w:p>
    <w:p w14:paraId="571FE962" w14:textId="77777777" w:rsidR="00160D60" w:rsidRPr="002F4A74" w:rsidRDefault="00160D60" w:rsidP="00160D60">
      <w:pPr>
        <w:pStyle w:val="Akapitzlist"/>
        <w:numPr>
          <w:ilvl w:val="0"/>
          <w:numId w:val="12"/>
        </w:numPr>
        <w:autoSpaceDE w:val="0"/>
        <w:autoSpaceDN w:val="0"/>
        <w:adjustRightInd w:val="0"/>
        <w:spacing w:line="240" w:lineRule="auto"/>
        <w:ind w:hanging="862"/>
        <w:jc w:val="left"/>
        <w:rPr>
          <w:rFonts w:ascii="Times New Roman" w:hAnsi="Times New Roman"/>
          <w:iCs/>
          <w:sz w:val="24"/>
          <w:szCs w:val="24"/>
        </w:rPr>
      </w:pPr>
      <w:bookmarkStart w:id="0" w:name="_Ref424026338"/>
      <w:r w:rsidRPr="002F4A74">
        <w:rPr>
          <w:rFonts w:ascii="Times New Roman" w:hAnsi="Times New Roman"/>
          <w:iCs/>
          <w:sz w:val="24"/>
          <w:szCs w:val="24"/>
        </w:rPr>
        <w:t>Tabela dotycząca Wnioskodawcy</w:t>
      </w:r>
      <w:bookmarkEnd w:id="0"/>
    </w:p>
    <w:p w14:paraId="7E494B0F" w14:textId="77777777" w:rsidR="00160D60" w:rsidRPr="002F4A74" w:rsidRDefault="00160D60" w:rsidP="00160D60">
      <w:pPr>
        <w:autoSpaceDE w:val="0"/>
        <w:autoSpaceDN w:val="0"/>
        <w:adjustRightInd w:val="0"/>
        <w:rPr>
          <w:i/>
          <w:iCs/>
          <w:szCs w:val="24"/>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175"/>
        <w:gridCol w:w="2158"/>
        <w:gridCol w:w="2158"/>
      </w:tblGrid>
      <w:tr w:rsidR="009956BD" w:rsidRPr="002F4A74" w14:paraId="7F204BA1" w14:textId="77777777" w:rsidTr="009956BD">
        <w:trPr>
          <w:trHeight w:val="1248"/>
        </w:trPr>
        <w:tc>
          <w:tcPr>
            <w:tcW w:w="3114" w:type="dxa"/>
            <w:vAlign w:val="center"/>
          </w:tcPr>
          <w:p w14:paraId="1258AA98" w14:textId="06E490E3" w:rsidR="009956BD" w:rsidRPr="002F4A74" w:rsidRDefault="009956BD" w:rsidP="00B515FD">
            <w:pPr>
              <w:rPr>
                <w:b/>
                <w:szCs w:val="24"/>
              </w:rPr>
            </w:pPr>
            <w:r w:rsidRPr="002F4A74">
              <w:rPr>
                <w:b/>
                <w:szCs w:val="24"/>
              </w:rPr>
              <w:t>Data rozpoczęcia działalności</w:t>
            </w:r>
          </w:p>
        </w:tc>
        <w:tc>
          <w:tcPr>
            <w:tcW w:w="6491" w:type="dxa"/>
            <w:gridSpan w:val="3"/>
            <w:vAlign w:val="center"/>
          </w:tcPr>
          <w:p w14:paraId="6471DC60" w14:textId="77777777" w:rsidR="009956BD" w:rsidRPr="002F4A74" w:rsidRDefault="009956BD" w:rsidP="00B515FD">
            <w:pPr>
              <w:rPr>
                <w:szCs w:val="24"/>
              </w:rPr>
            </w:pPr>
          </w:p>
        </w:tc>
      </w:tr>
      <w:tr w:rsidR="009956BD" w:rsidRPr="002F4A74" w14:paraId="15AB8610" w14:textId="77777777" w:rsidTr="009956BD">
        <w:trPr>
          <w:trHeight w:val="1248"/>
        </w:trPr>
        <w:tc>
          <w:tcPr>
            <w:tcW w:w="3114" w:type="dxa"/>
            <w:vAlign w:val="center"/>
          </w:tcPr>
          <w:p w14:paraId="3786B3CF" w14:textId="0CDAAFF2" w:rsidR="009956BD" w:rsidRPr="002F4A74" w:rsidRDefault="009956BD" w:rsidP="00B515FD">
            <w:pPr>
              <w:rPr>
                <w:b/>
                <w:szCs w:val="24"/>
              </w:rPr>
            </w:pPr>
            <w:r w:rsidRPr="002F4A74">
              <w:rPr>
                <w:b/>
                <w:szCs w:val="24"/>
              </w:rPr>
              <w:t>Jest przedsiębiorstwem samodzielnym</w:t>
            </w:r>
          </w:p>
        </w:tc>
        <w:tc>
          <w:tcPr>
            <w:tcW w:w="6491" w:type="dxa"/>
            <w:gridSpan w:val="3"/>
            <w:vAlign w:val="center"/>
          </w:tcPr>
          <w:p w14:paraId="45ACEA76" w14:textId="2D93E87C" w:rsidR="009956BD" w:rsidRPr="002F4A74" w:rsidRDefault="009956BD" w:rsidP="00B515FD">
            <w:pPr>
              <w:rPr>
                <w:szCs w:val="24"/>
              </w:rPr>
            </w:pPr>
            <w:r w:rsidRPr="002F4A74">
              <w:rPr>
                <w:szCs w:val="24"/>
              </w:rPr>
              <w:t xml:space="preserve">               TAK []                                                          NIE []</w:t>
            </w:r>
          </w:p>
        </w:tc>
      </w:tr>
      <w:tr w:rsidR="009956BD" w:rsidRPr="002F4A74" w14:paraId="14F84F84" w14:textId="77777777" w:rsidTr="009956BD">
        <w:trPr>
          <w:trHeight w:val="1248"/>
        </w:trPr>
        <w:tc>
          <w:tcPr>
            <w:tcW w:w="3114" w:type="dxa"/>
            <w:vAlign w:val="center"/>
          </w:tcPr>
          <w:p w14:paraId="5135D008" w14:textId="77777777" w:rsidR="009956BD" w:rsidRPr="002F4A74" w:rsidRDefault="009956BD" w:rsidP="00B515FD">
            <w:pPr>
              <w:rPr>
                <w:b/>
                <w:szCs w:val="24"/>
              </w:rPr>
            </w:pPr>
            <w:r w:rsidRPr="002F4A74">
              <w:rPr>
                <w:b/>
                <w:szCs w:val="24"/>
              </w:rPr>
              <w:t>Pozostaje w relacji przedsiębiorstw/ podmiotów partnerskich z :</w:t>
            </w:r>
          </w:p>
          <w:p w14:paraId="44D7C880" w14:textId="77777777" w:rsidR="009956BD" w:rsidRPr="002F4A74" w:rsidRDefault="009956BD" w:rsidP="00B515FD">
            <w:pPr>
              <w:rPr>
                <w:bCs/>
                <w:sz w:val="20"/>
              </w:rPr>
            </w:pPr>
            <w:r w:rsidRPr="002F4A74">
              <w:rPr>
                <w:bCs/>
                <w:sz w:val="20"/>
              </w:rPr>
              <w:t>(w rozumieniu art. 3 Załącznika I do rozporządzenia Komisji (UE) 651/2014)</w:t>
            </w:r>
          </w:p>
          <w:p w14:paraId="55AA2738" w14:textId="25339DFC" w:rsidR="00801CCB" w:rsidRPr="002F4A74" w:rsidRDefault="00801CCB" w:rsidP="00B515FD">
            <w:pPr>
              <w:rPr>
                <w:bCs/>
                <w:sz w:val="20"/>
              </w:rPr>
            </w:pPr>
            <w:r w:rsidRPr="002F4A74">
              <w:rPr>
                <w:bCs/>
                <w:sz w:val="20"/>
              </w:rPr>
              <w:lastRenderedPageBreak/>
              <w:t xml:space="preserve">W przypadku zaznaczenia </w:t>
            </w:r>
            <w:r w:rsidRPr="002F4A74">
              <w:rPr>
                <w:b/>
                <w:sz w:val="20"/>
              </w:rPr>
              <w:t>TAK</w:t>
            </w:r>
            <w:r w:rsidRPr="002F4A74">
              <w:rPr>
                <w:bCs/>
                <w:sz w:val="20"/>
              </w:rPr>
              <w:t xml:space="preserve"> należy dla każdego przedsiębiorstwa wypełnić Tabelę nr 2</w:t>
            </w:r>
          </w:p>
        </w:tc>
        <w:tc>
          <w:tcPr>
            <w:tcW w:w="6491" w:type="dxa"/>
            <w:gridSpan w:val="3"/>
            <w:vAlign w:val="center"/>
          </w:tcPr>
          <w:p w14:paraId="1F9ADB9A" w14:textId="5922D9E5" w:rsidR="009956BD" w:rsidRPr="002F4A74" w:rsidRDefault="009956BD" w:rsidP="009956BD">
            <w:pPr>
              <w:spacing w:line="480" w:lineRule="auto"/>
              <w:rPr>
                <w:szCs w:val="24"/>
              </w:rPr>
            </w:pPr>
            <w:r w:rsidRPr="002F4A74">
              <w:rPr>
                <w:szCs w:val="24"/>
              </w:rPr>
              <w:lastRenderedPageBreak/>
              <w:t xml:space="preserve">               TAK []                                                          NIE []</w:t>
            </w:r>
          </w:p>
          <w:p w14:paraId="06EFEF0E" w14:textId="29A0F9C6" w:rsidR="009956BD" w:rsidRPr="002F4A74" w:rsidRDefault="009956BD" w:rsidP="009956BD">
            <w:pPr>
              <w:spacing w:line="480" w:lineRule="auto"/>
              <w:rPr>
                <w:szCs w:val="24"/>
              </w:rPr>
            </w:pPr>
            <w:r w:rsidRPr="002F4A74">
              <w:rPr>
                <w:szCs w:val="24"/>
              </w:rPr>
              <w:t>1……………………………….</w:t>
            </w:r>
          </w:p>
          <w:p w14:paraId="557217E8" w14:textId="77777777" w:rsidR="009956BD" w:rsidRPr="002F4A74" w:rsidRDefault="009956BD" w:rsidP="009956BD">
            <w:pPr>
              <w:spacing w:line="480" w:lineRule="auto"/>
              <w:rPr>
                <w:szCs w:val="24"/>
              </w:rPr>
            </w:pPr>
            <w:r w:rsidRPr="002F4A74">
              <w:rPr>
                <w:szCs w:val="24"/>
              </w:rPr>
              <w:t>2……………………………….</w:t>
            </w:r>
          </w:p>
          <w:p w14:paraId="7BAF73BF" w14:textId="4824A85A" w:rsidR="009956BD" w:rsidRPr="002F4A74" w:rsidRDefault="009956BD" w:rsidP="009956BD">
            <w:pPr>
              <w:spacing w:line="480" w:lineRule="auto"/>
              <w:rPr>
                <w:szCs w:val="24"/>
              </w:rPr>
            </w:pPr>
            <w:r w:rsidRPr="002F4A74">
              <w:rPr>
                <w:szCs w:val="24"/>
              </w:rPr>
              <w:lastRenderedPageBreak/>
              <w:t>3……………………………….</w:t>
            </w:r>
          </w:p>
        </w:tc>
      </w:tr>
      <w:tr w:rsidR="009956BD" w:rsidRPr="002F4A74" w14:paraId="6B1223C9" w14:textId="77777777" w:rsidTr="009956BD">
        <w:trPr>
          <w:trHeight w:val="1248"/>
        </w:trPr>
        <w:tc>
          <w:tcPr>
            <w:tcW w:w="3114" w:type="dxa"/>
            <w:vAlign w:val="center"/>
          </w:tcPr>
          <w:p w14:paraId="14793D4E" w14:textId="24F573E6" w:rsidR="009956BD" w:rsidRPr="002F4A74" w:rsidRDefault="009956BD" w:rsidP="009956BD">
            <w:pPr>
              <w:rPr>
                <w:b/>
                <w:szCs w:val="24"/>
              </w:rPr>
            </w:pPr>
            <w:r w:rsidRPr="002F4A74">
              <w:rPr>
                <w:b/>
                <w:szCs w:val="24"/>
              </w:rPr>
              <w:lastRenderedPageBreak/>
              <w:t>Pozostaje w relacji przedsiębiorstw/ podmiotów powiązanych z:</w:t>
            </w:r>
          </w:p>
          <w:p w14:paraId="344A7F20" w14:textId="77777777" w:rsidR="009956BD" w:rsidRPr="002F4A74" w:rsidRDefault="009956BD" w:rsidP="009956BD">
            <w:pPr>
              <w:rPr>
                <w:bCs/>
                <w:sz w:val="20"/>
              </w:rPr>
            </w:pPr>
            <w:r w:rsidRPr="002F4A74">
              <w:rPr>
                <w:bCs/>
                <w:sz w:val="20"/>
              </w:rPr>
              <w:t>(w rozumieniu art. 3 Załącznika I do rozporządzenia Komisji (UE) 651/2014)</w:t>
            </w:r>
          </w:p>
          <w:p w14:paraId="6A64675C" w14:textId="62FCC9B9" w:rsidR="00801CCB" w:rsidRPr="002F4A74" w:rsidRDefault="00801CCB" w:rsidP="009956BD">
            <w:pPr>
              <w:rPr>
                <w:b/>
                <w:szCs w:val="24"/>
              </w:rPr>
            </w:pPr>
            <w:r w:rsidRPr="002F4A74">
              <w:rPr>
                <w:bCs/>
                <w:sz w:val="20"/>
              </w:rPr>
              <w:t xml:space="preserve">W przypadku zaznaczenia </w:t>
            </w:r>
            <w:r w:rsidRPr="002F4A74">
              <w:rPr>
                <w:b/>
                <w:sz w:val="20"/>
              </w:rPr>
              <w:t>TAK</w:t>
            </w:r>
            <w:r w:rsidRPr="002F4A74">
              <w:rPr>
                <w:bCs/>
                <w:sz w:val="20"/>
              </w:rPr>
              <w:t xml:space="preserve"> należy dla każdego przedsiębiorstwa wypełnić Tabelę nr 2 </w:t>
            </w:r>
          </w:p>
        </w:tc>
        <w:tc>
          <w:tcPr>
            <w:tcW w:w="6491" w:type="dxa"/>
            <w:gridSpan w:val="3"/>
            <w:vAlign w:val="center"/>
          </w:tcPr>
          <w:p w14:paraId="605A52DB" w14:textId="77777777" w:rsidR="009956BD" w:rsidRPr="002F4A74" w:rsidRDefault="009956BD" w:rsidP="009956BD">
            <w:pPr>
              <w:spacing w:line="480" w:lineRule="auto"/>
              <w:rPr>
                <w:szCs w:val="24"/>
              </w:rPr>
            </w:pPr>
            <w:r w:rsidRPr="002F4A74">
              <w:rPr>
                <w:szCs w:val="24"/>
              </w:rPr>
              <w:t xml:space="preserve">               TAK []                                                          NIE []</w:t>
            </w:r>
          </w:p>
          <w:p w14:paraId="25EC5E95" w14:textId="77777777" w:rsidR="009956BD" w:rsidRPr="002F4A74" w:rsidRDefault="009956BD" w:rsidP="009956BD">
            <w:pPr>
              <w:spacing w:line="480" w:lineRule="auto"/>
              <w:rPr>
                <w:szCs w:val="24"/>
              </w:rPr>
            </w:pPr>
            <w:r w:rsidRPr="002F4A74">
              <w:rPr>
                <w:szCs w:val="24"/>
              </w:rPr>
              <w:t>1……………………………….</w:t>
            </w:r>
          </w:p>
          <w:p w14:paraId="77F52EBA" w14:textId="77777777" w:rsidR="009956BD" w:rsidRPr="002F4A74" w:rsidRDefault="009956BD" w:rsidP="009956BD">
            <w:pPr>
              <w:spacing w:line="480" w:lineRule="auto"/>
              <w:rPr>
                <w:szCs w:val="24"/>
              </w:rPr>
            </w:pPr>
            <w:r w:rsidRPr="002F4A74">
              <w:rPr>
                <w:szCs w:val="24"/>
              </w:rPr>
              <w:t>2……………………………….</w:t>
            </w:r>
          </w:p>
          <w:p w14:paraId="28DE1681" w14:textId="140E830B" w:rsidR="009956BD" w:rsidRPr="002F4A74" w:rsidRDefault="009956BD" w:rsidP="009956BD">
            <w:pPr>
              <w:spacing w:line="480" w:lineRule="auto"/>
              <w:rPr>
                <w:szCs w:val="24"/>
              </w:rPr>
            </w:pPr>
            <w:r w:rsidRPr="002F4A74">
              <w:rPr>
                <w:szCs w:val="24"/>
              </w:rPr>
              <w:t>3……………………………….</w:t>
            </w:r>
          </w:p>
        </w:tc>
      </w:tr>
      <w:tr w:rsidR="00160D60" w:rsidRPr="002F4A74" w14:paraId="28EFCFF0" w14:textId="77777777" w:rsidTr="009956BD">
        <w:trPr>
          <w:trHeight w:val="1248"/>
        </w:trPr>
        <w:tc>
          <w:tcPr>
            <w:tcW w:w="3114" w:type="dxa"/>
            <w:shd w:val="clear" w:color="auto" w:fill="F2F2F2" w:themeFill="background1" w:themeFillShade="F2"/>
            <w:vAlign w:val="center"/>
          </w:tcPr>
          <w:p w14:paraId="5CD18552" w14:textId="77777777" w:rsidR="00160D60" w:rsidRPr="002F4A74" w:rsidRDefault="00160D60" w:rsidP="00B515FD">
            <w:pPr>
              <w:rPr>
                <w:b/>
                <w:szCs w:val="24"/>
              </w:rPr>
            </w:pPr>
            <w:r w:rsidRPr="002F4A74">
              <w:rPr>
                <w:b/>
                <w:szCs w:val="24"/>
              </w:rPr>
              <w:t>Wyszczególnienie</w:t>
            </w:r>
          </w:p>
        </w:tc>
        <w:tc>
          <w:tcPr>
            <w:tcW w:w="2175" w:type="dxa"/>
            <w:shd w:val="clear" w:color="auto" w:fill="F2F2F2" w:themeFill="background1" w:themeFillShade="F2"/>
            <w:vAlign w:val="center"/>
          </w:tcPr>
          <w:p w14:paraId="6CF472D4" w14:textId="77777777" w:rsidR="00160D60" w:rsidRPr="002F4A74" w:rsidRDefault="00160D60" w:rsidP="00B515FD">
            <w:pPr>
              <w:rPr>
                <w:szCs w:val="24"/>
              </w:rPr>
            </w:pPr>
            <w:r w:rsidRPr="002F4A74">
              <w:rPr>
                <w:szCs w:val="24"/>
              </w:rPr>
              <w:t>W roku złożenia wniosku</w:t>
            </w:r>
          </w:p>
          <w:p w14:paraId="78E61943" w14:textId="77777777" w:rsidR="00160D60" w:rsidRPr="002F4A74" w:rsidRDefault="00160D60" w:rsidP="00B515FD">
            <w:pPr>
              <w:rPr>
                <w:szCs w:val="24"/>
              </w:rPr>
            </w:pPr>
            <w:r w:rsidRPr="002F4A74">
              <w:rPr>
                <w:szCs w:val="24"/>
              </w:rPr>
              <w:t>–………rok</w:t>
            </w:r>
            <w:r w:rsidRPr="002F4A74" w:rsidDel="00CD0D2D">
              <w:rPr>
                <w:szCs w:val="24"/>
              </w:rPr>
              <w:t xml:space="preserve"> </w:t>
            </w:r>
          </w:p>
        </w:tc>
        <w:tc>
          <w:tcPr>
            <w:tcW w:w="2158" w:type="dxa"/>
            <w:shd w:val="clear" w:color="auto" w:fill="F2F2F2" w:themeFill="background1" w:themeFillShade="F2"/>
            <w:vAlign w:val="center"/>
          </w:tcPr>
          <w:p w14:paraId="2E640F0F" w14:textId="77777777" w:rsidR="00160D60" w:rsidRPr="002F4A74" w:rsidRDefault="00160D60" w:rsidP="00B515FD">
            <w:pPr>
              <w:rPr>
                <w:szCs w:val="24"/>
              </w:rPr>
            </w:pPr>
            <w:r w:rsidRPr="002F4A74">
              <w:rPr>
                <w:szCs w:val="24"/>
              </w:rPr>
              <w:t>W ostatnim zamkniętym okresie obrachunkowym – ………rok</w:t>
            </w:r>
          </w:p>
        </w:tc>
        <w:tc>
          <w:tcPr>
            <w:tcW w:w="2158" w:type="dxa"/>
            <w:shd w:val="clear" w:color="auto" w:fill="F2F2F2" w:themeFill="background1" w:themeFillShade="F2"/>
            <w:vAlign w:val="center"/>
          </w:tcPr>
          <w:p w14:paraId="4FA285B2" w14:textId="77777777" w:rsidR="00160D60" w:rsidRPr="002F4A74" w:rsidRDefault="00160D60" w:rsidP="00B515FD">
            <w:pPr>
              <w:rPr>
                <w:szCs w:val="24"/>
              </w:rPr>
            </w:pPr>
            <w:r w:rsidRPr="002F4A74">
              <w:rPr>
                <w:szCs w:val="24"/>
              </w:rPr>
              <w:t xml:space="preserve">W poprzednim </w:t>
            </w:r>
            <w:r w:rsidR="00CB4065" w:rsidRPr="002F4A74">
              <w:rPr>
                <w:szCs w:val="24"/>
              </w:rPr>
              <w:t>zamkniętym</w:t>
            </w:r>
            <w:r w:rsidRPr="002F4A74">
              <w:rPr>
                <w:szCs w:val="24"/>
              </w:rPr>
              <w:t xml:space="preserve"> okresie obrachunkowym – ………rok</w:t>
            </w:r>
          </w:p>
        </w:tc>
      </w:tr>
      <w:tr w:rsidR="00160D60" w:rsidRPr="002F4A74" w14:paraId="0FFECDE2" w14:textId="77777777" w:rsidTr="009956BD">
        <w:trPr>
          <w:trHeight w:val="1212"/>
        </w:trPr>
        <w:tc>
          <w:tcPr>
            <w:tcW w:w="3114" w:type="dxa"/>
            <w:vAlign w:val="center"/>
          </w:tcPr>
          <w:p w14:paraId="1308EE9A" w14:textId="77777777" w:rsidR="00160D60" w:rsidRPr="002F4A74" w:rsidRDefault="00160D60" w:rsidP="00B515FD">
            <w:pPr>
              <w:rPr>
                <w:szCs w:val="24"/>
              </w:rPr>
            </w:pPr>
            <w:r w:rsidRPr="002F4A74">
              <w:rPr>
                <w:szCs w:val="24"/>
              </w:rPr>
              <w:t>Wielkość zatrudnienia (roczne jednostki pracy – RJP)</w:t>
            </w:r>
          </w:p>
        </w:tc>
        <w:tc>
          <w:tcPr>
            <w:tcW w:w="2175" w:type="dxa"/>
            <w:tcBorders>
              <w:bottom w:val="single" w:sz="4" w:space="0" w:color="000000"/>
            </w:tcBorders>
            <w:vAlign w:val="center"/>
          </w:tcPr>
          <w:p w14:paraId="58B63733" w14:textId="77777777" w:rsidR="00160D60" w:rsidRPr="002F4A74" w:rsidRDefault="00160D60" w:rsidP="00B515FD">
            <w:pPr>
              <w:rPr>
                <w:szCs w:val="24"/>
              </w:rPr>
            </w:pPr>
          </w:p>
        </w:tc>
        <w:tc>
          <w:tcPr>
            <w:tcW w:w="2158" w:type="dxa"/>
            <w:vAlign w:val="center"/>
          </w:tcPr>
          <w:p w14:paraId="617094A3" w14:textId="77777777" w:rsidR="00160D60" w:rsidRPr="002F4A74" w:rsidRDefault="00160D60" w:rsidP="00B515FD">
            <w:pPr>
              <w:rPr>
                <w:szCs w:val="24"/>
              </w:rPr>
            </w:pPr>
          </w:p>
        </w:tc>
        <w:tc>
          <w:tcPr>
            <w:tcW w:w="2158" w:type="dxa"/>
          </w:tcPr>
          <w:p w14:paraId="37032DBF" w14:textId="77777777" w:rsidR="00160D60" w:rsidRPr="002F4A74" w:rsidRDefault="00160D60" w:rsidP="00B515FD">
            <w:pPr>
              <w:rPr>
                <w:szCs w:val="24"/>
              </w:rPr>
            </w:pPr>
          </w:p>
        </w:tc>
      </w:tr>
      <w:tr w:rsidR="00160D60" w:rsidRPr="002F4A74" w14:paraId="04E80435" w14:textId="77777777" w:rsidTr="009956BD">
        <w:trPr>
          <w:trHeight w:val="1439"/>
        </w:trPr>
        <w:tc>
          <w:tcPr>
            <w:tcW w:w="3114" w:type="dxa"/>
            <w:vAlign w:val="center"/>
          </w:tcPr>
          <w:p w14:paraId="3D2D143E" w14:textId="77777777" w:rsidR="00160D60" w:rsidRPr="002F4A74" w:rsidRDefault="00160D60" w:rsidP="00B515FD">
            <w:pPr>
              <w:rPr>
                <w:szCs w:val="24"/>
              </w:rPr>
            </w:pPr>
            <w:r w:rsidRPr="002F4A74">
              <w:rPr>
                <w:szCs w:val="24"/>
              </w:rPr>
              <w:t>Przychody netto ze sprzedaży towarów, wyrobów, usług i operacji finansowych (w mln. EUR na koniec zamkniętego roku obrachunkowego według średniego kursu NBP na dzień sporządzania sprawozdania)</w:t>
            </w:r>
          </w:p>
        </w:tc>
        <w:tc>
          <w:tcPr>
            <w:tcW w:w="2175" w:type="dxa"/>
            <w:shd w:val="pct12" w:color="auto" w:fill="auto"/>
            <w:vAlign w:val="center"/>
          </w:tcPr>
          <w:p w14:paraId="056E70C2" w14:textId="77777777" w:rsidR="00160D60" w:rsidRPr="002F4A74" w:rsidRDefault="00160D60" w:rsidP="00B515FD">
            <w:pPr>
              <w:rPr>
                <w:szCs w:val="24"/>
              </w:rPr>
            </w:pPr>
          </w:p>
        </w:tc>
        <w:tc>
          <w:tcPr>
            <w:tcW w:w="2158" w:type="dxa"/>
            <w:vAlign w:val="center"/>
          </w:tcPr>
          <w:p w14:paraId="78E87AF8" w14:textId="77777777" w:rsidR="00160D60" w:rsidRPr="002F4A74" w:rsidRDefault="00160D60" w:rsidP="00B515FD">
            <w:pPr>
              <w:rPr>
                <w:szCs w:val="24"/>
              </w:rPr>
            </w:pPr>
          </w:p>
        </w:tc>
        <w:tc>
          <w:tcPr>
            <w:tcW w:w="2158" w:type="dxa"/>
          </w:tcPr>
          <w:p w14:paraId="09C27AA7" w14:textId="77777777" w:rsidR="00160D60" w:rsidRPr="002F4A74" w:rsidRDefault="00160D60" w:rsidP="00B515FD">
            <w:pPr>
              <w:rPr>
                <w:szCs w:val="24"/>
              </w:rPr>
            </w:pPr>
          </w:p>
        </w:tc>
      </w:tr>
      <w:tr w:rsidR="00160D60" w:rsidRPr="002F4A74" w14:paraId="7CE8AB2C" w14:textId="77777777" w:rsidTr="009956BD">
        <w:trPr>
          <w:trHeight w:val="1094"/>
        </w:trPr>
        <w:tc>
          <w:tcPr>
            <w:tcW w:w="3114" w:type="dxa"/>
            <w:vAlign w:val="center"/>
          </w:tcPr>
          <w:p w14:paraId="53F606D2" w14:textId="77777777" w:rsidR="00160D60" w:rsidRPr="002F4A74" w:rsidRDefault="00160D60" w:rsidP="00B515FD">
            <w:pPr>
              <w:rPr>
                <w:szCs w:val="24"/>
              </w:rPr>
            </w:pPr>
            <w:r w:rsidRPr="002F4A74">
              <w:rPr>
                <w:szCs w:val="24"/>
              </w:rPr>
              <w:t xml:space="preserve">Suma aktywów bilansu </w:t>
            </w:r>
            <w:r w:rsidRPr="002F4A74">
              <w:rPr>
                <w:szCs w:val="24"/>
              </w:rPr>
              <w:br/>
              <w:t>(w mln. EUR na koniec zamkniętego roku obrachunkowego według średniego kursu NBP na dzień sporządzania sprawozdania)</w:t>
            </w:r>
          </w:p>
        </w:tc>
        <w:tc>
          <w:tcPr>
            <w:tcW w:w="2175" w:type="dxa"/>
            <w:shd w:val="pct12" w:color="auto" w:fill="auto"/>
            <w:vAlign w:val="center"/>
          </w:tcPr>
          <w:p w14:paraId="20708E84" w14:textId="77777777" w:rsidR="00160D60" w:rsidRPr="002F4A74" w:rsidRDefault="00160D60" w:rsidP="00B515FD">
            <w:pPr>
              <w:rPr>
                <w:szCs w:val="24"/>
              </w:rPr>
            </w:pPr>
          </w:p>
        </w:tc>
        <w:tc>
          <w:tcPr>
            <w:tcW w:w="2158" w:type="dxa"/>
            <w:vAlign w:val="center"/>
          </w:tcPr>
          <w:p w14:paraId="19182AD5" w14:textId="77777777" w:rsidR="00160D60" w:rsidRPr="002F4A74" w:rsidRDefault="00160D60" w:rsidP="00B515FD">
            <w:pPr>
              <w:rPr>
                <w:szCs w:val="24"/>
              </w:rPr>
            </w:pPr>
          </w:p>
        </w:tc>
        <w:tc>
          <w:tcPr>
            <w:tcW w:w="2158" w:type="dxa"/>
          </w:tcPr>
          <w:p w14:paraId="4F2FEECA" w14:textId="77777777" w:rsidR="00160D60" w:rsidRPr="002F4A74" w:rsidRDefault="00160D60" w:rsidP="00B515FD">
            <w:pPr>
              <w:rPr>
                <w:szCs w:val="24"/>
              </w:rPr>
            </w:pPr>
          </w:p>
        </w:tc>
      </w:tr>
    </w:tbl>
    <w:p w14:paraId="04FBB77E" w14:textId="5450C0C2" w:rsidR="00160D60" w:rsidRPr="002F4A74" w:rsidRDefault="00160D60" w:rsidP="00B515FD">
      <w:pPr>
        <w:rPr>
          <w:szCs w:val="24"/>
        </w:rPr>
      </w:pPr>
    </w:p>
    <w:p w14:paraId="38FFA439" w14:textId="424BFF11" w:rsidR="00C33509" w:rsidRPr="002F4A74" w:rsidRDefault="00C33509" w:rsidP="00B515FD">
      <w:pPr>
        <w:rPr>
          <w:szCs w:val="24"/>
        </w:rPr>
      </w:pPr>
    </w:p>
    <w:p w14:paraId="7884F947" w14:textId="205C0B49" w:rsidR="00C33509" w:rsidRPr="002F4A74" w:rsidRDefault="00C33509" w:rsidP="00B515FD">
      <w:pPr>
        <w:rPr>
          <w:szCs w:val="24"/>
        </w:rPr>
      </w:pPr>
    </w:p>
    <w:p w14:paraId="0629B7FB" w14:textId="0983BE1A" w:rsidR="00C33509" w:rsidRPr="002F4A74" w:rsidRDefault="00C33509" w:rsidP="00B515FD">
      <w:pPr>
        <w:rPr>
          <w:szCs w:val="24"/>
        </w:rPr>
      </w:pPr>
    </w:p>
    <w:p w14:paraId="1E209B7A" w14:textId="776C12B2" w:rsidR="00C33509" w:rsidRDefault="00C33509" w:rsidP="00B515FD">
      <w:pPr>
        <w:rPr>
          <w:szCs w:val="24"/>
        </w:rPr>
      </w:pPr>
    </w:p>
    <w:p w14:paraId="08163632" w14:textId="5729D5A2" w:rsidR="0025608E" w:rsidRDefault="0025608E" w:rsidP="00B515FD">
      <w:pPr>
        <w:rPr>
          <w:szCs w:val="24"/>
        </w:rPr>
      </w:pPr>
    </w:p>
    <w:p w14:paraId="7AF58DE7" w14:textId="77777777" w:rsidR="0025608E" w:rsidRPr="002F4A74" w:rsidRDefault="0025608E" w:rsidP="00B515FD">
      <w:pPr>
        <w:rPr>
          <w:szCs w:val="24"/>
        </w:rPr>
      </w:pPr>
    </w:p>
    <w:p w14:paraId="70328933" w14:textId="5DC64CE1" w:rsidR="00C33509" w:rsidRPr="002F4A74" w:rsidRDefault="00C33509" w:rsidP="00B515FD">
      <w:pPr>
        <w:rPr>
          <w:szCs w:val="24"/>
        </w:rPr>
      </w:pPr>
    </w:p>
    <w:p w14:paraId="1B804E8C" w14:textId="24521F89" w:rsidR="00C33509" w:rsidRPr="002F4A74" w:rsidRDefault="00C33509" w:rsidP="00B515FD">
      <w:pPr>
        <w:rPr>
          <w:szCs w:val="24"/>
        </w:rPr>
      </w:pPr>
    </w:p>
    <w:p w14:paraId="7D9099F7" w14:textId="77777777" w:rsidR="00C33509" w:rsidRPr="002F4A74" w:rsidRDefault="00C33509" w:rsidP="00B515FD">
      <w:pPr>
        <w:rPr>
          <w:szCs w:val="24"/>
        </w:rPr>
      </w:pPr>
    </w:p>
    <w:p w14:paraId="47BAFDAB" w14:textId="2F6F98B6" w:rsidR="00160D60" w:rsidRPr="002F4A74" w:rsidRDefault="00160D60" w:rsidP="00B515FD">
      <w:pPr>
        <w:pStyle w:val="Akapitzlist"/>
        <w:numPr>
          <w:ilvl w:val="0"/>
          <w:numId w:val="12"/>
        </w:numPr>
        <w:spacing w:line="240" w:lineRule="auto"/>
        <w:ind w:hanging="862"/>
        <w:jc w:val="left"/>
        <w:rPr>
          <w:rFonts w:ascii="Times New Roman" w:hAnsi="Times New Roman"/>
          <w:sz w:val="24"/>
          <w:szCs w:val="24"/>
        </w:rPr>
      </w:pPr>
      <w:r w:rsidRPr="002F4A74">
        <w:rPr>
          <w:rFonts w:ascii="Times New Roman" w:hAnsi="Times New Roman"/>
          <w:sz w:val="24"/>
          <w:szCs w:val="24"/>
        </w:rPr>
        <w:lastRenderedPageBreak/>
        <w:t>Tabela</w:t>
      </w:r>
      <w:r w:rsidR="00801CCB" w:rsidRPr="002F4A74">
        <w:rPr>
          <w:rFonts w:ascii="Times New Roman" w:hAnsi="Times New Roman"/>
          <w:sz w:val="24"/>
          <w:szCs w:val="24"/>
        </w:rPr>
        <w:t xml:space="preserve"> 2</w:t>
      </w:r>
      <w:r w:rsidRPr="002F4A74">
        <w:rPr>
          <w:rFonts w:ascii="Times New Roman" w:hAnsi="Times New Roman"/>
          <w:sz w:val="24"/>
          <w:szCs w:val="24"/>
        </w:rPr>
        <w:t xml:space="preserve"> dotycząca przedsiębiorstwa partnerskiego/powiązanego</w:t>
      </w:r>
    </w:p>
    <w:p w14:paraId="67423AE2" w14:textId="77777777" w:rsidR="00C33509" w:rsidRPr="002F4A74" w:rsidRDefault="00C33509" w:rsidP="00C33509">
      <w:pPr>
        <w:pStyle w:val="Akapitzlist"/>
        <w:spacing w:line="240" w:lineRule="auto"/>
        <w:jc w:val="left"/>
        <w:rPr>
          <w:rFonts w:ascii="Times New Roman" w:hAnsi="Times New Roman"/>
          <w:sz w:val="24"/>
          <w:szCs w:val="24"/>
        </w:rPr>
      </w:pPr>
    </w:p>
    <w:p w14:paraId="6BA258FE" w14:textId="77777777" w:rsidR="00160D60" w:rsidRPr="002F4A74" w:rsidRDefault="00160D60" w:rsidP="00B515FD">
      <w:pPr>
        <w:pStyle w:val="Akapitzlist"/>
        <w:spacing w:line="240" w:lineRule="auto"/>
        <w:jc w:val="left"/>
        <w:rPr>
          <w:rFonts w:ascii="Times New Roman" w:hAnsi="Times New Roman"/>
          <w:sz w:val="24"/>
          <w:szCs w:val="24"/>
        </w:rPr>
      </w:pPr>
    </w:p>
    <w:p w14:paraId="4E3CFA3D" w14:textId="57F1EC65" w:rsidR="00160D60" w:rsidRPr="002F4A74" w:rsidRDefault="00160D60" w:rsidP="00B515FD">
      <w:pPr>
        <w:pStyle w:val="Akapitzlist"/>
        <w:spacing w:line="240" w:lineRule="auto"/>
        <w:jc w:val="left"/>
        <w:rPr>
          <w:rFonts w:ascii="Times New Roman" w:hAnsi="Times New Roman"/>
          <w:i/>
          <w:sz w:val="24"/>
          <w:szCs w:val="24"/>
        </w:rPr>
      </w:pPr>
      <w:r w:rsidRPr="002F4A74">
        <w:rPr>
          <w:rFonts w:ascii="Times New Roman" w:hAnsi="Times New Roman"/>
          <w:i/>
          <w:sz w:val="24"/>
          <w:szCs w:val="24"/>
        </w:rPr>
        <w:t>Nazwa przedsiębiorstwa</w:t>
      </w:r>
      <w:r w:rsidR="00801CCB" w:rsidRPr="002F4A74">
        <w:rPr>
          <w:rFonts w:ascii="Times New Roman" w:hAnsi="Times New Roman"/>
          <w:i/>
          <w:sz w:val="24"/>
          <w:szCs w:val="24"/>
        </w:rPr>
        <w:t xml:space="preserve"> ……………………………………………………………………..</w:t>
      </w:r>
    </w:p>
    <w:p w14:paraId="1458DAA4" w14:textId="77777777" w:rsidR="00160D60" w:rsidRPr="002F4A74" w:rsidRDefault="00160D60" w:rsidP="00B515FD">
      <w:pPr>
        <w:pStyle w:val="Akapitzlist"/>
        <w:spacing w:line="240" w:lineRule="auto"/>
        <w:jc w:val="left"/>
        <w:rPr>
          <w:rFonts w:ascii="Times New Roman" w:hAnsi="Times New Roman"/>
          <w:i/>
          <w:sz w:val="24"/>
          <w:szCs w:val="24"/>
        </w:rPr>
      </w:pP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175"/>
        <w:gridCol w:w="2158"/>
        <w:gridCol w:w="2158"/>
      </w:tblGrid>
      <w:tr w:rsidR="00160D60" w:rsidRPr="002F4A74" w14:paraId="2701EE2E" w14:textId="77777777" w:rsidTr="00D40FDA">
        <w:trPr>
          <w:trHeight w:val="1248"/>
        </w:trPr>
        <w:tc>
          <w:tcPr>
            <w:tcW w:w="2943" w:type="dxa"/>
            <w:vAlign w:val="center"/>
          </w:tcPr>
          <w:p w14:paraId="2FC88F4F" w14:textId="77777777" w:rsidR="00160D60" w:rsidRPr="002F4A74" w:rsidRDefault="00160D60" w:rsidP="00B515FD">
            <w:pPr>
              <w:rPr>
                <w:b/>
                <w:szCs w:val="24"/>
              </w:rPr>
            </w:pPr>
            <w:r w:rsidRPr="002F4A74">
              <w:rPr>
                <w:b/>
                <w:szCs w:val="24"/>
              </w:rPr>
              <w:t>Wyszczególnienie</w:t>
            </w:r>
          </w:p>
        </w:tc>
        <w:tc>
          <w:tcPr>
            <w:tcW w:w="2175" w:type="dxa"/>
            <w:vAlign w:val="center"/>
          </w:tcPr>
          <w:p w14:paraId="3C2E9959" w14:textId="77777777" w:rsidR="00160D60" w:rsidRPr="002F4A74" w:rsidRDefault="00160D60" w:rsidP="00B515FD">
            <w:pPr>
              <w:rPr>
                <w:szCs w:val="24"/>
              </w:rPr>
            </w:pPr>
            <w:r w:rsidRPr="002F4A74">
              <w:rPr>
                <w:szCs w:val="24"/>
              </w:rPr>
              <w:t>W roku złożenia wniosku</w:t>
            </w:r>
          </w:p>
          <w:p w14:paraId="62BDC864" w14:textId="77777777" w:rsidR="00160D60" w:rsidRPr="002F4A74" w:rsidRDefault="00160D60" w:rsidP="00B515FD">
            <w:pPr>
              <w:rPr>
                <w:szCs w:val="24"/>
              </w:rPr>
            </w:pPr>
            <w:r w:rsidRPr="002F4A74">
              <w:rPr>
                <w:szCs w:val="24"/>
              </w:rPr>
              <w:t>–………rok</w:t>
            </w:r>
            <w:r w:rsidRPr="002F4A74" w:rsidDel="00CD0D2D">
              <w:rPr>
                <w:szCs w:val="24"/>
              </w:rPr>
              <w:t xml:space="preserve"> </w:t>
            </w:r>
          </w:p>
        </w:tc>
        <w:tc>
          <w:tcPr>
            <w:tcW w:w="2158" w:type="dxa"/>
            <w:vAlign w:val="center"/>
          </w:tcPr>
          <w:p w14:paraId="25BD9519" w14:textId="77777777" w:rsidR="00160D60" w:rsidRPr="002F4A74" w:rsidRDefault="00160D60" w:rsidP="00B515FD">
            <w:pPr>
              <w:rPr>
                <w:szCs w:val="24"/>
              </w:rPr>
            </w:pPr>
            <w:r w:rsidRPr="002F4A74">
              <w:rPr>
                <w:szCs w:val="24"/>
              </w:rPr>
              <w:t>W ostatnim zamkniętym okresie obrachunkowym – ………rok</w:t>
            </w:r>
          </w:p>
        </w:tc>
        <w:tc>
          <w:tcPr>
            <w:tcW w:w="2158" w:type="dxa"/>
            <w:vAlign w:val="center"/>
          </w:tcPr>
          <w:p w14:paraId="750DA1B7" w14:textId="77777777" w:rsidR="00160D60" w:rsidRPr="002F4A74" w:rsidRDefault="00160D60" w:rsidP="00B515FD">
            <w:pPr>
              <w:rPr>
                <w:szCs w:val="24"/>
              </w:rPr>
            </w:pPr>
            <w:r w:rsidRPr="002F4A74">
              <w:rPr>
                <w:szCs w:val="24"/>
              </w:rPr>
              <w:t>W poprzednim zamkniętym okresie obrachunkowym – ………rok</w:t>
            </w:r>
          </w:p>
        </w:tc>
      </w:tr>
      <w:tr w:rsidR="00160D60" w:rsidRPr="002F4A74" w14:paraId="244B35A5" w14:textId="77777777" w:rsidTr="00D40FDA">
        <w:trPr>
          <w:trHeight w:val="1212"/>
        </w:trPr>
        <w:tc>
          <w:tcPr>
            <w:tcW w:w="2943" w:type="dxa"/>
            <w:vAlign w:val="center"/>
          </w:tcPr>
          <w:p w14:paraId="101B2891" w14:textId="77777777" w:rsidR="00160D60" w:rsidRPr="002F4A74" w:rsidRDefault="00160D60" w:rsidP="00B515FD">
            <w:pPr>
              <w:rPr>
                <w:szCs w:val="24"/>
              </w:rPr>
            </w:pPr>
            <w:r w:rsidRPr="002F4A74">
              <w:rPr>
                <w:szCs w:val="24"/>
              </w:rPr>
              <w:t>Wielkość zatrudnienia (roczne jednostki pracy – RJP)</w:t>
            </w:r>
          </w:p>
        </w:tc>
        <w:tc>
          <w:tcPr>
            <w:tcW w:w="2175" w:type="dxa"/>
            <w:tcBorders>
              <w:bottom w:val="single" w:sz="4" w:space="0" w:color="000000"/>
            </w:tcBorders>
            <w:vAlign w:val="center"/>
          </w:tcPr>
          <w:p w14:paraId="7CEFEB95" w14:textId="77777777" w:rsidR="00160D60" w:rsidRPr="002F4A74" w:rsidRDefault="00160D60" w:rsidP="00B515FD">
            <w:pPr>
              <w:rPr>
                <w:szCs w:val="24"/>
              </w:rPr>
            </w:pPr>
          </w:p>
        </w:tc>
        <w:tc>
          <w:tcPr>
            <w:tcW w:w="2158" w:type="dxa"/>
            <w:vAlign w:val="center"/>
          </w:tcPr>
          <w:p w14:paraId="1B2DBA14" w14:textId="77777777" w:rsidR="00160D60" w:rsidRPr="002F4A74" w:rsidRDefault="00160D60" w:rsidP="00B515FD">
            <w:pPr>
              <w:rPr>
                <w:szCs w:val="24"/>
              </w:rPr>
            </w:pPr>
          </w:p>
        </w:tc>
        <w:tc>
          <w:tcPr>
            <w:tcW w:w="2158" w:type="dxa"/>
          </w:tcPr>
          <w:p w14:paraId="444849FD" w14:textId="77777777" w:rsidR="00160D60" w:rsidRPr="002F4A74" w:rsidRDefault="00160D60" w:rsidP="00B515FD">
            <w:pPr>
              <w:rPr>
                <w:szCs w:val="24"/>
              </w:rPr>
            </w:pPr>
          </w:p>
        </w:tc>
      </w:tr>
      <w:tr w:rsidR="00160D60" w:rsidRPr="002F4A74" w14:paraId="31AB7D65" w14:textId="77777777" w:rsidTr="00D40FDA">
        <w:trPr>
          <w:trHeight w:val="1439"/>
        </w:trPr>
        <w:tc>
          <w:tcPr>
            <w:tcW w:w="2943" w:type="dxa"/>
            <w:vAlign w:val="center"/>
          </w:tcPr>
          <w:p w14:paraId="7455C066" w14:textId="77777777" w:rsidR="00160D60" w:rsidRPr="002F4A74" w:rsidRDefault="00160D60" w:rsidP="00B515FD">
            <w:pPr>
              <w:rPr>
                <w:szCs w:val="24"/>
              </w:rPr>
            </w:pPr>
            <w:r w:rsidRPr="002F4A74">
              <w:rPr>
                <w:szCs w:val="24"/>
              </w:rPr>
              <w:t>Przychody netto ze sprzedaży towarów, wyrobów, usług i operacji finansowych (w mln. EUR na koniec zamkniętego roku obrachunkowego według średniego kursu NBP na dzień sporządzania sprawozdania)</w:t>
            </w:r>
          </w:p>
        </w:tc>
        <w:tc>
          <w:tcPr>
            <w:tcW w:w="2175" w:type="dxa"/>
            <w:shd w:val="pct12" w:color="auto" w:fill="auto"/>
            <w:vAlign w:val="center"/>
          </w:tcPr>
          <w:p w14:paraId="18C2F182" w14:textId="77777777" w:rsidR="00160D60" w:rsidRPr="002F4A74" w:rsidRDefault="00160D60" w:rsidP="00B515FD">
            <w:pPr>
              <w:rPr>
                <w:szCs w:val="24"/>
                <w:highlight w:val="lightGray"/>
              </w:rPr>
            </w:pPr>
          </w:p>
        </w:tc>
        <w:tc>
          <w:tcPr>
            <w:tcW w:w="2158" w:type="dxa"/>
            <w:vAlign w:val="center"/>
          </w:tcPr>
          <w:p w14:paraId="09B7C3CC" w14:textId="77777777" w:rsidR="00160D60" w:rsidRPr="002F4A74" w:rsidRDefault="00160D60" w:rsidP="00B515FD">
            <w:pPr>
              <w:rPr>
                <w:szCs w:val="24"/>
              </w:rPr>
            </w:pPr>
          </w:p>
        </w:tc>
        <w:tc>
          <w:tcPr>
            <w:tcW w:w="2158" w:type="dxa"/>
          </w:tcPr>
          <w:p w14:paraId="69DF2C18" w14:textId="77777777" w:rsidR="00160D60" w:rsidRPr="002F4A74" w:rsidRDefault="00160D60" w:rsidP="00B515FD">
            <w:pPr>
              <w:rPr>
                <w:szCs w:val="24"/>
              </w:rPr>
            </w:pPr>
          </w:p>
        </w:tc>
      </w:tr>
      <w:tr w:rsidR="00160D60" w:rsidRPr="002F4A74" w14:paraId="3191D29C" w14:textId="77777777" w:rsidTr="00D40FDA">
        <w:trPr>
          <w:trHeight w:val="1094"/>
        </w:trPr>
        <w:tc>
          <w:tcPr>
            <w:tcW w:w="2943" w:type="dxa"/>
            <w:vAlign w:val="center"/>
          </w:tcPr>
          <w:p w14:paraId="1AF65C04" w14:textId="77777777" w:rsidR="00160D60" w:rsidRPr="002F4A74" w:rsidRDefault="00160D60" w:rsidP="00B515FD">
            <w:pPr>
              <w:rPr>
                <w:szCs w:val="24"/>
              </w:rPr>
            </w:pPr>
            <w:r w:rsidRPr="002F4A74">
              <w:rPr>
                <w:szCs w:val="24"/>
              </w:rPr>
              <w:t xml:space="preserve">Suma aktywów bilansu </w:t>
            </w:r>
            <w:r w:rsidRPr="002F4A74">
              <w:rPr>
                <w:szCs w:val="24"/>
              </w:rPr>
              <w:br/>
              <w:t>(w mln. EUR na koniec zamkniętego roku obrachunkowego według średniego kursu NBP na dzień sporządzania sprawozdania)</w:t>
            </w:r>
          </w:p>
        </w:tc>
        <w:tc>
          <w:tcPr>
            <w:tcW w:w="2175" w:type="dxa"/>
            <w:shd w:val="pct12" w:color="auto" w:fill="auto"/>
            <w:vAlign w:val="center"/>
          </w:tcPr>
          <w:p w14:paraId="7834D480" w14:textId="77777777" w:rsidR="00160D60" w:rsidRPr="002F4A74" w:rsidRDefault="00160D60" w:rsidP="00B515FD">
            <w:pPr>
              <w:rPr>
                <w:szCs w:val="24"/>
                <w:highlight w:val="lightGray"/>
              </w:rPr>
            </w:pPr>
          </w:p>
        </w:tc>
        <w:tc>
          <w:tcPr>
            <w:tcW w:w="2158" w:type="dxa"/>
            <w:vAlign w:val="center"/>
          </w:tcPr>
          <w:p w14:paraId="1DC9248B" w14:textId="77777777" w:rsidR="00160D60" w:rsidRPr="002F4A74" w:rsidRDefault="00160D60" w:rsidP="00B515FD">
            <w:pPr>
              <w:rPr>
                <w:szCs w:val="24"/>
              </w:rPr>
            </w:pPr>
          </w:p>
        </w:tc>
        <w:tc>
          <w:tcPr>
            <w:tcW w:w="2158" w:type="dxa"/>
          </w:tcPr>
          <w:p w14:paraId="488BADA8" w14:textId="77777777" w:rsidR="00160D60" w:rsidRPr="002F4A74" w:rsidRDefault="00160D60" w:rsidP="00B515FD">
            <w:pPr>
              <w:rPr>
                <w:szCs w:val="24"/>
              </w:rPr>
            </w:pPr>
          </w:p>
        </w:tc>
      </w:tr>
    </w:tbl>
    <w:p w14:paraId="42497693" w14:textId="77777777" w:rsidR="00160D60" w:rsidRPr="002F4A74" w:rsidRDefault="00160D60" w:rsidP="00B515FD">
      <w:pPr>
        <w:pStyle w:val="Akapitzlist"/>
        <w:jc w:val="left"/>
        <w:rPr>
          <w:rFonts w:ascii="Times New Roman" w:hAnsi="Times New Roman"/>
          <w:i/>
          <w:sz w:val="24"/>
          <w:szCs w:val="24"/>
        </w:rPr>
      </w:pPr>
    </w:p>
    <w:p w14:paraId="1756BF52" w14:textId="1531722A" w:rsidR="00160D60" w:rsidRPr="002F4A74" w:rsidRDefault="00160D60" w:rsidP="00A36B05">
      <w:pPr>
        <w:spacing w:after="120" w:line="360" w:lineRule="auto"/>
        <w:jc w:val="both"/>
        <w:rPr>
          <w:szCs w:val="24"/>
        </w:rPr>
      </w:pPr>
      <w:r w:rsidRPr="002F4A74">
        <w:rPr>
          <w:szCs w:val="24"/>
        </w:rPr>
        <w:t>Jeżeli z załączonych dokumentów nie wynika jednoznac</w:t>
      </w:r>
      <w:r w:rsidR="00CB4065" w:rsidRPr="002F4A74">
        <w:rPr>
          <w:szCs w:val="24"/>
        </w:rPr>
        <w:t>znie status przedsiębiorstwa</w:t>
      </w:r>
      <w:r w:rsidR="0025608E">
        <w:rPr>
          <w:szCs w:val="24"/>
        </w:rPr>
        <w:t>,</w:t>
      </w:r>
      <w:r w:rsidR="00CB4065" w:rsidRPr="002F4A74">
        <w:rPr>
          <w:szCs w:val="24"/>
        </w:rPr>
        <w:t xml:space="preserve"> </w:t>
      </w:r>
      <w:r w:rsidR="00801CCB" w:rsidRPr="002F4A74">
        <w:rPr>
          <w:szCs w:val="24"/>
        </w:rPr>
        <w:t>ORFR Sp. z o.o</w:t>
      </w:r>
      <w:r w:rsidR="0025608E">
        <w:rPr>
          <w:szCs w:val="24"/>
        </w:rPr>
        <w:t>.</w:t>
      </w:r>
      <w:r w:rsidR="00801CCB" w:rsidRPr="002F4A74">
        <w:rPr>
          <w:szCs w:val="24"/>
        </w:rPr>
        <w:t xml:space="preserve"> w Opolu</w:t>
      </w:r>
      <w:r w:rsidR="00A36B05" w:rsidRPr="002F4A74">
        <w:rPr>
          <w:szCs w:val="24"/>
        </w:rPr>
        <w:t xml:space="preserve"> </w:t>
      </w:r>
      <w:r w:rsidRPr="002F4A74">
        <w:rPr>
          <w:szCs w:val="24"/>
        </w:rPr>
        <w:t>zastrzega</w:t>
      </w:r>
      <w:r w:rsidR="00801CCB" w:rsidRPr="002F4A74">
        <w:rPr>
          <w:szCs w:val="24"/>
        </w:rPr>
        <w:t xml:space="preserve"> sobie</w:t>
      </w:r>
      <w:r w:rsidRPr="002F4A74">
        <w:rPr>
          <w:szCs w:val="24"/>
        </w:rPr>
        <w:t xml:space="preserve"> możliwość poproszenia o dane za poprzednie lata obrachunkowe, do momentu możliwości określenia statusu.</w:t>
      </w:r>
    </w:p>
    <w:p w14:paraId="07A9E473" w14:textId="77777777" w:rsidR="00160D60" w:rsidRPr="002F4A74" w:rsidRDefault="00160D60" w:rsidP="00B515FD">
      <w:pPr>
        <w:rPr>
          <w:szCs w:val="24"/>
        </w:rPr>
      </w:pPr>
    </w:p>
    <w:p w14:paraId="1BADB82B" w14:textId="77777777" w:rsidR="00B544C5" w:rsidRPr="002F4A74" w:rsidRDefault="00160D60" w:rsidP="00B515FD">
      <w:pPr>
        <w:spacing w:line="26" w:lineRule="atLeast"/>
        <w:ind w:left="4320" w:firstLine="720"/>
        <w:rPr>
          <w:szCs w:val="24"/>
        </w:rPr>
      </w:pPr>
      <w:r w:rsidRPr="002F4A74">
        <w:rPr>
          <w:spacing w:val="20"/>
          <w:szCs w:val="24"/>
        </w:rPr>
        <w:t>…………..….</w:t>
      </w:r>
      <w:r w:rsidRPr="002F4A74">
        <w:rPr>
          <w:szCs w:val="24"/>
        </w:rPr>
        <w:t>…………………………</w:t>
      </w:r>
    </w:p>
    <w:p w14:paraId="727EF96C" w14:textId="77777777" w:rsidR="00160D60" w:rsidRPr="002F4A74" w:rsidRDefault="00160D60" w:rsidP="00B515FD">
      <w:pPr>
        <w:spacing w:line="26" w:lineRule="atLeast"/>
        <w:ind w:left="4320" w:firstLine="720"/>
        <w:rPr>
          <w:szCs w:val="24"/>
        </w:rPr>
      </w:pPr>
      <w:r w:rsidRPr="002F4A74">
        <w:rPr>
          <w:szCs w:val="24"/>
        </w:rPr>
        <w:t>(podpis i pieczątka)</w:t>
      </w:r>
    </w:p>
    <w:p w14:paraId="0C33A018" w14:textId="1B6E92F4" w:rsidR="00160D60" w:rsidRPr="002F4A74" w:rsidRDefault="00160D60" w:rsidP="00B515FD">
      <w:pPr>
        <w:autoSpaceDE w:val="0"/>
        <w:autoSpaceDN w:val="0"/>
        <w:adjustRightInd w:val="0"/>
        <w:rPr>
          <w:i/>
          <w:iCs/>
          <w:szCs w:val="24"/>
        </w:rPr>
      </w:pPr>
    </w:p>
    <w:p w14:paraId="7C0868A3" w14:textId="72D9D5DA" w:rsidR="00564771" w:rsidRPr="002F4A74" w:rsidRDefault="00564771" w:rsidP="00564771">
      <w:pPr>
        <w:rPr>
          <w:szCs w:val="24"/>
        </w:rPr>
      </w:pPr>
    </w:p>
    <w:p w14:paraId="29EDFFA9" w14:textId="47717279" w:rsidR="00C33509" w:rsidRDefault="00C33509" w:rsidP="00564771">
      <w:pPr>
        <w:rPr>
          <w:szCs w:val="24"/>
        </w:rPr>
      </w:pPr>
    </w:p>
    <w:p w14:paraId="66417681" w14:textId="786C17F0" w:rsidR="002F4A74" w:rsidRDefault="002F4A74" w:rsidP="00564771">
      <w:pPr>
        <w:rPr>
          <w:szCs w:val="24"/>
        </w:rPr>
      </w:pPr>
    </w:p>
    <w:p w14:paraId="65DF53A9" w14:textId="439975CD" w:rsidR="002F4A74" w:rsidRDefault="002F4A74" w:rsidP="00564771">
      <w:pPr>
        <w:rPr>
          <w:szCs w:val="24"/>
        </w:rPr>
      </w:pPr>
    </w:p>
    <w:p w14:paraId="71491987" w14:textId="1C654B01" w:rsidR="002F4A74" w:rsidRDefault="002F4A74" w:rsidP="00564771">
      <w:pPr>
        <w:rPr>
          <w:szCs w:val="24"/>
        </w:rPr>
      </w:pPr>
    </w:p>
    <w:p w14:paraId="74FB1BAF" w14:textId="77777777" w:rsidR="002F4A74" w:rsidRPr="002F4A74" w:rsidRDefault="002F4A74" w:rsidP="00564771">
      <w:pPr>
        <w:rPr>
          <w:szCs w:val="24"/>
        </w:rPr>
      </w:pPr>
    </w:p>
    <w:p w14:paraId="6C10F9B8" w14:textId="0EE2D057" w:rsidR="00564771" w:rsidRPr="002F4A74" w:rsidRDefault="00564771" w:rsidP="00564771">
      <w:pPr>
        <w:jc w:val="center"/>
        <w:rPr>
          <w:szCs w:val="24"/>
        </w:rPr>
      </w:pPr>
    </w:p>
    <w:p w14:paraId="2E5F5C38" w14:textId="1B61962E" w:rsidR="00564771" w:rsidRPr="002F4A74" w:rsidRDefault="00564771" w:rsidP="00564771">
      <w:pPr>
        <w:jc w:val="center"/>
        <w:rPr>
          <w:szCs w:val="24"/>
        </w:rPr>
      </w:pPr>
    </w:p>
    <w:p w14:paraId="4EBDC686" w14:textId="77777777" w:rsidR="00564771" w:rsidRPr="002F4A74" w:rsidRDefault="00564771" w:rsidP="00564771">
      <w:pPr>
        <w:jc w:val="center"/>
        <w:rPr>
          <w:b/>
        </w:rPr>
      </w:pPr>
      <w:r w:rsidRPr="002F4A74">
        <w:rPr>
          <w:b/>
        </w:rPr>
        <w:t>KRYTERIUM PODMIOTOWE OKREŚLENIE WIELKOŚCI PRZEDSIĘBIORSTWA:</w:t>
      </w:r>
    </w:p>
    <w:p w14:paraId="6175E1D6" w14:textId="77777777" w:rsidR="00564771" w:rsidRPr="002F4A74" w:rsidRDefault="00564771" w:rsidP="00564771">
      <w:pPr>
        <w:autoSpaceDE w:val="0"/>
        <w:autoSpaceDN w:val="0"/>
        <w:adjustRightInd w:val="0"/>
        <w:jc w:val="both"/>
        <w:rPr>
          <w:b/>
          <w:bCs/>
          <w:sz w:val="28"/>
          <w:szCs w:val="28"/>
        </w:rPr>
      </w:pPr>
    </w:p>
    <w:p w14:paraId="0265C2CF" w14:textId="77777777" w:rsidR="00564771" w:rsidRPr="002F4A74" w:rsidRDefault="00564771" w:rsidP="00564771">
      <w:pPr>
        <w:autoSpaceDE w:val="0"/>
        <w:autoSpaceDN w:val="0"/>
        <w:adjustRightInd w:val="0"/>
        <w:jc w:val="both"/>
      </w:pPr>
      <w:r w:rsidRPr="002F4A74">
        <w:t xml:space="preserve">Wnioskodawca wypełnia oświadczenie, w którym zaznacza czy na dzień złożenia </w:t>
      </w:r>
      <w:bookmarkStart w:id="1" w:name="_Hlk527709251"/>
      <w:r w:rsidRPr="002F4A74">
        <w:t xml:space="preserve">formularza zgłoszeniowego dla MSP </w:t>
      </w:r>
      <w:bookmarkEnd w:id="1"/>
      <w:r w:rsidRPr="002F4A74">
        <w:t>spełnia kryteria w zakresie zakwalifikowania podmiotu do mikro, małego, średniego bądź dużego przedsiębiorstwa, a także czy jest przedsiębiorstwem samodzielnym, partnerskim lub powiązanym.</w:t>
      </w:r>
    </w:p>
    <w:p w14:paraId="14EF408A" w14:textId="77777777" w:rsidR="00564771" w:rsidRPr="002F4A74" w:rsidRDefault="00564771" w:rsidP="00564771">
      <w:pPr>
        <w:autoSpaceDE w:val="0"/>
        <w:autoSpaceDN w:val="0"/>
        <w:adjustRightInd w:val="0"/>
        <w:jc w:val="both"/>
      </w:pPr>
    </w:p>
    <w:p w14:paraId="398BB099" w14:textId="77777777" w:rsidR="00564771" w:rsidRPr="002F4A74" w:rsidRDefault="00564771" w:rsidP="00564771">
      <w:pPr>
        <w:autoSpaceDE w:val="0"/>
        <w:autoSpaceDN w:val="0"/>
        <w:adjustRightInd w:val="0"/>
        <w:jc w:val="both"/>
        <w:rPr>
          <w:b/>
          <w:bCs/>
        </w:rPr>
      </w:pPr>
    </w:p>
    <w:p w14:paraId="3F02AC7B" w14:textId="77777777" w:rsidR="00564771" w:rsidRPr="002F4A74" w:rsidRDefault="00564771" w:rsidP="00564771">
      <w:pPr>
        <w:numPr>
          <w:ilvl w:val="0"/>
          <w:numId w:val="13"/>
        </w:numPr>
        <w:tabs>
          <w:tab w:val="num" w:pos="360"/>
        </w:tabs>
        <w:spacing w:line="26" w:lineRule="atLeast"/>
        <w:ind w:left="360"/>
        <w:jc w:val="both"/>
      </w:pPr>
      <w:r w:rsidRPr="002F4A74">
        <w:rPr>
          <w:b/>
        </w:rPr>
        <w:t>Mikroprzedsiębiorstwa</w:t>
      </w:r>
      <w:r w:rsidRPr="002F4A74">
        <w:t xml:space="preserve"> – mikroprzedsiębiorstwo to przedsiębiorstwo, które:</w:t>
      </w:r>
      <w:r w:rsidRPr="002F4A74">
        <w:tab/>
      </w:r>
      <w:r w:rsidRPr="002F4A74">
        <w:tab/>
      </w:r>
    </w:p>
    <w:p w14:paraId="649FCEC9" w14:textId="77777777" w:rsidR="00564771" w:rsidRPr="002F4A74" w:rsidRDefault="00564771" w:rsidP="00564771">
      <w:pPr>
        <w:numPr>
          <w:ilvl w:val="0"/>
          <w:numId w:val="2"/>
        </w:numPr>
        <w:tabs>
          <w:tab w:val="num" w:pos="360"/>
        </w:tabs>
        <w:spacing w:line="26" w:lineRule="atLeast"/>
        <w:ind w:left="360"/>
        <w:jc w:val="both"/>
      </w:pPr>
      <w:r w:rsidRPr="002F4A74">
        <w:t>zatrudnia mniej niż 10 pracowników;</w:t>
      </w:r>
    </w:p>
    <w:p w14:paraId="61CCE8A2" w14:textId="1AD062F8" w:rsidR="00564771" w:rsidRPr="002F4A74" w:rsidRDefault="00564771" w:rsidP="00564771">
      <w:pPr>
        <w:numPr>
          <w:ilvl w:val="0"/>
          <w:numId w:val="2"/>
        </w:numPr>
        <w:tabs>
          <w:tab w:val="num" w:pos="360"/>
        </w:tabs>
        <w:spacing w:line="26" w:lineRule="atLeast"/>
        <w:ind w:left="360"/>
        <w:jc w:val="both"/>
      </w:pPr>
      <w:r w:rsidRPr="002F4A74">
        <w:t>jego roczny obrót nie przekracza 2 milionów euro i/lub roczna suma bilansowa nie przekracza 2 milionów euro</w:t>
      </w:r>
    </w:p>
    <w:p w14:paraId="0D05731C" w14:textId="77777777" w:rsidR="00564771" w:rsidRPr="002F4A74" w:rsidRDefault="00564771" w:rsidP="00564771">
      <w:pPr>
        <w:numPr>
          <w:ilvl w:val="0"/>
          <w:numId w:val="10"/>
        </w:numPr>
        <w:tabs>
          <w:tab w:val="num" w:pos="360"/>
        </w:tabs>
        <w:spacing w:line="26" w:lineRule="atLeast"/>
        <w:ind w:left="360"/>
        <w:jc w:val="both"/>
        <w:rPr>
          <w:b/>
        </w:rPr>
      </w:pPr>
      <w:r w:rsidRPr="002F4A74">
        <w:rPr>
          <w:b/>
        </w:rPr>
        <w:t>Małym przedsiębiorstwa</w:t>
      </w:r>
      <w:r w:rsidRPr="002F4A74">
        <w:t xml:space="preserve"> – małe przedsiębiorstwo to przedsiębiorstwo, które:</w:t>
      </w:r>
    </w:p>
    <w:p w14:paraId="251DAE00" w14:textId="77777777" w:rsidR="00564771" w:rsidRPr="002F4A74" w:rsidRDefault="00564771" w:rsidP="00564771">
      <w:pPr>
        <w:numPr>
          <w:ilvl w:val="0"/>
          <w:numId w:val="4"/>
        </w:numPr>
        <w:tabs>
          <w:tab w:val="num" w:pos="360"/>
        </w:tabs>
        <w:spacing w:line="26" w:lineRule="atLeast"/>
        <w:ind w:left="360"/>
        <w:jc w:val="both"/>
      </w:pPr>
      <w:r w:rsidRPr="002F4A74">
        <w:t>zatrudnia mniej niż 50 pracowników;</w:t>
      </w:r>
    </w:p>
    <w:p w14:paraId="7EA8EBA5" w14:textId="3786A854" w:rsidR="00564771" w:rsidRPr="002F4A74" w:rsidRDefault="00564771" w:rsidP="00564771">
      <w:pPr>
        <w:numPr>
          <w:ilvl w:val="0"/>
          <w:numId w:val="4"/>
        </w:numPr>
        <w:tabs>
          <w:tab w:val="num" w:pos="360"/>
        </w:tabs>
        <w:spacing w:line="26" w:lineRule="atLeast"/>
        <w:ind w:left="360"/>
        <w:jc w:val="both"/>
      </w:pPr>
      <w:r w:rsidRPr="002F4A74">
        <w:t>jego roczny obrót nie przekracza 10 milionów euro i/lub roczna suma bilansowa nie przekracza 10 milionów euro</w:t>
      </w:r>
    </w:p>
    <w:p w14:paraId="31651B3E" w14:textId="77777777" w:rsidR="00564771" w:rsidRPr="002F4A74" w:rsidRDefault="00564771" w:rsidP="00564771">
      <w:pPr>
        <w:numPr>
          <w:ilvl w:val="0"/>
          <w:numId w:val="5"/>
        </w:numPr>
        <w:tabs>
          <w:tab w:val="num" w:pos="360"/>
        </w:tabs>
        <w:spacing w:line="26" w:lineRule="atLeast"/>
        <w:ind w:left="360"/>
        <w:jc w:val="both"/>
      </w:pPr>
      <w:r w:rsidRPr="002F4A74">
        <w:rPr>
          <w:b/>
        </w:rPr>
        <w:t xml:space="preserve">Średnim przedsiębiorstwa – </w:t>
      </w:r>
      <w:r w:rsidRPr="002F4A74">
        <w:t xml:space="preserve">średnie przedsiębiorstwo to przedsiębiorstwo, które: </w:t>
      </w:r>
    </w:p>
    <w:p w14:paraId="0ED2EE92" w14:textId="77777777" w:rsidR="00564771" w:rsidRPr="002F4A74" w:rsidRDefault="00564771" w:rsidP="00564771">
      <w:pPr>
        <w:numPr>
          <w:ilvl w:val="0"/>
          <w:numId w:val="14"/>
        </w:numPr>
        <w:tabs>
          <w:tab w:val="num" w:pos="360"/>
        </w:tabs>
        <w:spacing w:line="26" w:lineRule="atLeast"/>
        <w:jc w:val="both"/>
      </w:pPr>
      <w:r w:rsidRPr="002F4A74">
        <w:t>zatrudnia mniej niż 250 pracowników;</w:t>
      </w:r>
    </w:p>
    <w:p w14:paraId="4D1710BC" w14:textId="43F47D60" w:rsidR="00564771" w:rsidRPr="002F4A74" w:rsidRDefault="00564771" w:rsidP="00564771">
      <w:pPr>
        <w:numPr>
          <w:ilvl w:val="0"/>
          <w:numId w:val="14"/>
        </w:numPr>
        <w:tabs>
          <w:tab w:val="num" w:pos="360"/>
        </w:tabs>
        <w:spacing w:line="26" w:lineRule="atLeast"/>
        <w:jc w:val="both"/>
      </w:pPr>
      <w:r w:rsidRPr="002F4A74">
        <w:t>jego roczny obrót nie przekracza 50 milionów euro a/lub roczna suma bilansowa nie przekracza 43 milionów euro</w:t>
      </w:r>
    </w:p>
    <w:p w14:paraId="08E9D0E5" w14:textId="77777777" w:rsidR="00564771" w:rsidRPr="002F4A74" w:rsidRDefault="00564771" w:rsidP="00564771">
      <w:pPr>
        <w:numPr>
          <w:ilvl w:val="0"/>
          <w:numId w:val="5"/>
        </w:numPr>
        <w:tabs>
          <w:tab w:val="num" w:pos="360"/>
        </w:tabs>
        <w:spacing w:line="26" w:lineRule="atLeast"/>
        <w:ind w:left="360"/>
        <w:jc w:val="both"/>
      </w:pPr>
      <w:r w:rsidRPr="002F4A74">
        <w:rPr>
          <w:b/>
        </w:rPr>
        <w:t>Dużym przedsiębiorstwem</w:t>
      </w:r>
      <w:r w:rsidRPr="002F4A74">
        <w:t xml:space="preserve"> - duże przedsiębiorstwo to przedsiębiorstwo, które:</w:t>
      </w:r>
    </w:p>
    <w:p w14:paraId="0CFF9771" w14:textId="77777777" w:rsidR="00564771" w:rsidRPr="002F4A74" w:rsidRDefault="00564771" w:rsidP="00564771">
      <w:pPr>
        <w:numPr>
          <w:ilvl w:val="0"/>
          <w:numId w:val="15"/>
        </w:numPr>
        <w:spacing w:line="26" w:lineRule="atLeast"/>
        <w:ind w:left="426" w:hanging="426"/>
        <w:jc w:val="both"/>
      </w:pPr>
      <w:r w:rsidRPr="002F4A74">
        <w:t xml:space="preserve">nie spełnia kryteriów MŚP, </w:t>
      </w:r>
    </w:p>
    <w:p w14:paraId="44619102" w14:textId="77777777" w:rsidR="00564771" w:rsidRPr="002F4A74" w:rsidRDefault="00564771" w:rsidP="00564771">
      <w:pPr>
        <w:numPr>
          <w:ilvl w:val="0"/>
          <w:numId w:val="15"/>
        </w:numPr>
        <w:spacing w:line="26" w:lineRule="atLeast"/>
        <w:ind w:left="426" w:hanging="426"/>
        <w:jc w:val="both"/>
      </w:pPr>
      <w:r w:rsidRPr="002F4A74">
        <w:t>25 % lub więcej kapitału lub praw głosu kontroluje bezpośrednio lub pośrednio, wspólnie lub indywidualnie, co najmniej jeden organ publiczny</w:t>
      </w:r>
    </w:p>
    <w:p w14:paraId="6E04D416" w14:textId="77777777" w:rsidR="00564771" w:rsidRPr="002F4A74" w:rsidRDefault="00564771" w:rsidP="00564771">
      <w:pPr>
        <w:spacing w:line="26" w:lineRule="atLeast"/>
        <w:jc w:val="both"/>
      </w:pPr>
    </w:p>
    <w:p w14:paraId="4A495271" w14:textId="77777777" w:rsidR="00564771" w:rsidRPr="002F4A74" w:rsidRDefault="00564771" w:rsidP="00564771">
      <w:pPr>
        <w:spacing w:line="26" w:lineRule="atLeast"/>
        <w:jc w:val="both"/>
      </w:pPr>
      <w:r w:rsidRPr="002F4A74">
        <w:t>oraz spełnia wymogi odnoszące się do przedsiębiorstwa:</w:t>
      </w:r>
    </w:p>
    <w:p w14:paraId="79EC9C07" w14:textId="77777777" w:rsidR="00564771" w:rsidRPr="002F4A74" w:rsidRDefault="00564771" w:rsidP="00564771">
      <w:pPr>
        <w:spacing w:line="26" w:lineRule="atLeast"/>
        <w:jc w:val="both"/>
      </w:pPr>
    </w:p>
    <w:p w14:paraId="052AB6BA" w14:textId="77777777" w:rsidR="00564771" w:rsidRPr="002F4A74" w:rsidRDefault="00564771" w:rsidP="00564771">
      <w:pPr>
        <w:spacing w:line="26" w:lineRule="atLeast"/>
        <w:jc w:val="both"/>
        <w:rPr>
          <w:b/>
        </w:rPr>
      </w:pPr>
      <w:r w:rsidRPr="002F4A74">
        <w:rPr>
          <w:b/>
        </w:rPr>
        <w:t xml:space="preserve">Samodzielnego  </w:t>
      </w:r>
      <w:r w:rsidRPr="002F4A74">
        <w:rPr>
          <w:b/>
        </w:rPr>
        <w:tab/>
      </w:r>
      <w:r w:rsidRPr="002F4A74">
        <w:rPr>
          <w:b/>
        </w:rPr>
        <w:tab/>
      </w:r>
      <w:r w:rsidRPr="002F4A74">
        <w:rPr>
          <w:b/>
        </w:rPr>
        <w:tab/>
      </w:r>
      <w:r w:rsidRPr="002F4A74">
        <w:rPr>
          <w:b/>
        </w:rPr>
        <w:tab/>
      </w:r>
      <w:r w:rsidRPr="002F4A74">
        <w:rPr>
          <w:b/>
        </w:rPr>
        <w:tab/>
      </w:r>
      <w:r w:rsidRPr="002F4A74">
        <w:rPr>
          <w:b/>
        </w:rPr>
        <w:tab/>
      </w:r>
      <w:r w:rsidRPr="002F4A74">
        <w:rPr>
          <w:b/>
        </w:rPr>
        <w:tab/>
      </w:r>
      <w:r w:rsidRPr="002F4A74">
        <w:rPr>
          <w:b/>
        </w:rPr>
        <w:tab/>
      </w:r>
      <w:r w:rsidRPr="002F4A74">
        <w:rPr>
          <w:b/>
        </w:rPr>
        <w:tab/>
      </w:r>
      <w:r w:rsidRPr="002F4A74">
        <w:rPr>
          <w:b/>
        </w:rPr>
        <w:tab/>
      </w:r>
    </w:p>
    <w:p w14:paraId="52B0AC8D" w14:textId="77777777" w:rsidR="00564771" w:rsidRPr="002F4A74" w:rsidRDefault="00564771" w:rsidP="00564771">
      <w:pPr>
        <w:spacing w:line="26" w:lineRule="atLeast"/>
        <w:jc w:val="both"/>
        <w:rPr>
          <w:bCs/>
        </w:rPr>
      </w:pPr>
      <w:r w:rsidRPr="002F4A74">
        <w:rPr>
          <w:bCs/>
        </w:rPr>
        <w:t>Każde przedsiębiorstwo, które nie jest zakwalifikowane jako przedsiębiorstwo partnerskie, ani jako przedsiębiorstwo powiązane.</w:t>
      </w:r>
    </w:p>
    <w:p w14:paraId="5ED872CA" w14:textId="77777777" w:rsidR="00564771" w:rsidRPr="002F4A74" w:rsidRDefault="00564771" w:rsidP="00564771">
      <w:pPr>
        <w:spacing w:line="26" w:lineRule="atLeast"/>
        <w:jc w:val="both"/>
        <w:rPr>
          <w:bCs/>
        </w:rPr>
      </w:pPr>
    </w:p>
    <w:p w14:paraId="30B899DB" w14:textId="77777777" w:rsidR="00564771" w:rsidRPr="002F4A74" w:rsidRDefault="00564771" w:rsidP="00564771">
      <w:pPr>
        <w:spacing w:line="26" w:lineRule="atLeast"/>
        <w:jc w:val="both"/>
        <w:rPr>
          <w:b/>
        </w:rPr>
      </w:pPr>
      <w:r w:rsidRPr="002F4A74">
        <w:rPr>
          <w:b/>
        </w:rPr>
        <w:t xml:space="preserve">Partnerskiego </w:t>
      </w:r>
    </w:p>
    <w:p w14:paraId="34F344AB" w14:textId="77777777" w:rsidR="00564771" w:rsidRPr="002F4A74" w:rsidRDefault="00564771" w:rsidP="00564771">
      <w:pPr>
        <w:spacing w:line="26" w:lineRule="atLeast"/>
        <w:jc w:val="both"/>
        <w:rPr>
          <w:bCs/>
        </w:rPr>
      </w:pPr>
      <w:r w:rsidRPr="002F4A74">
        <w:rPr>
          <w:bCs/>
        </w:rPr>
        <w:t>Oznaczają wszystkie przedsiębiorstwa, które nie zostały zakwalifikowane jako przedsiębiorstwa powiązane w rozumieniu i między którymi istnieją następujące związki: przedsiębiorstwo (przedsiębiorstwo wyższego szczebla) posiada, samodzielnie lub wspólnie z co najmniej jednym przedsiębiorstwem powiązanym, co najmniej 25 % kapitału innego przedsiębiorstwa (przedsiębiorstwa niższego szczebla) lub praw głosu w takim przedsiębiorstwie.</w:t>
      </w:r>
    </w:p>
    <w:p w14:paraId="739E335A" w14:textId="77777777" w:rsidR="00564771" w:rsidRPr="002F4A74" w:rsidRDefault="00564771" w:rsidP="00564771">
      <w:pPr>
        <w:spacing w:line="26" w:lineRule="atLeast"/>
        <w:jc w:val="both"/>
        <w:rPr>
          <w:bCs/>
        </w:rPr>
      </w:pPr>
      <w:r w:rsidRPr="002F4A74">
        <w:rPr>
          <w:bCs/>
        </w:rPr>
        <w:t>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w:t>
      </w:r>
    </w:p>
    <w:p w14:paraId="1724FEBB" w14:textId="77777777" w:rsidR="00564771" w:rsidRPr="002F4A74" w:rsidRDefault="00564771" w:rsidP="00564771">
      <w:pPr>
        <w:spacing w:line="26" w:lineRule="atLeast"/>
        <w:jc w:val="both"/>
        <w:rPr>
          <w:bCs/>
        </w:rPr>
      </w:pPr>
      <w:r w:rsidRPr="002F4A74">
        <w:rPr>
          <w:bCs/>
        </w:rPr>
        <w:t xml:space="preserve">publiczne korporacje inwestycyjne, spółki venture </w:t>
      </w:r>
      <w:proofErr w:type="spellStart"/>
      <w:r w:rsidRPr="002F4A74">
        <w:rPr>
          <w:bCs/>
        </w:rPr>
        <w:t>capital</w:t>
      </w:r>
      <w:proofErr w:type="spellEnd"/>
      <w:r w:rsidRPr="002F4A74">
        <w:rPr>
          <w:bCs/>
        </w:rPr>
        <w:t xml:space="preserve">, osoby fizyczne lub grupy osób fizycznych prowadzące regularną działalność inwestycyjną w oparciu o venture </w:t>
      </w:r>
      <w:proofErr w:type="spellStart"/>
      <w:r w:rsidRPr="002F4A74">
        <w:rPr>
          <w:bCs/>
        </w:rPr>
        <w:t>capital</w:t>
      </w:r>
      <w:proofErr w:type="spellEnd"/>
      <w:r w:rsidRPr="002F4A74">
        <w:rPr>
          <w:bCs/>
        </w:rPr>
        <w:t xml:space="preserve">, które </w:t>
      </w:r>
      <w:r w:rsidRPr="002F4A74">
        <w:rPr>
          <w:bCs/>
        </w:rPr>
        <w:lastRenderedPageBreak/>
        <w:t>inwestują w firmy nienotowane na giełdzie (tzw. anioły biznesu), pod warunkiem że całkowita kwota inwestycji tych aniołów biznesu w jedno przedsiębiorstwo wynosi mniej niż 1 250 000 EUR;</w:t>
      </w:r>
    </w:p>
    <w:p w14:paraId="014D094E" w14:textId="77777777" w:rsidR="00564771" w:rsidRPr="002F4A74" w:rsidRDefault="00564771" w:rsidP="00564771">
      <w:pPr>
        <w:spacing w:line="26" w:lineRule="atLeast"/>
        <w:jc w:val="both"/>
        <w:rPr>
          <w:bCs/>
        </w:rPr>
      </w:pPr>
      <w:r w:rsidRPr="002F4A74">
        <w:rPr>
          <w:bCs/>
        </w:rPr>
        <w:t xml:space="preserve">uczelnie wyższe lub ośrodki badawcze nienastawione na zysk; </w:t>
      </w:r>
    </w:p>
    <w:p w14:paraId="036A9FC0" w14:textId="77777777" w:rsidR="00564771" w:rsidRPr="002F4A74" w:rsidRDefault="00564771" w:rsidP="00564771">
      <w:pPr>
        <w:spacing w:line="26" w:lineRule="atLeast"/>
        <w:jc w:val="both"/>
        <w:rPr>
          <w:bCs/>
        </w:rPr>
      </w:pPr>
      <w:r w:rsidRPr="002F4A74">
        <w:rPr>
          <w:bCs/>
        </w:rPr>
        <w:t xml:space="preserve">inwestorzy instytucjonalni, w tym fundusze rozwoju regionalnego; </w:t>
      </w:r>
    </w:p>
    <w:p w14:paraId="2C7F34E3" w14:textId="77777777" w:rsidR="00564771" w:rsidRPr="002F4A74" w:rsidRDefault="00564771" w:rsidP="00564771">
      <w:pPr>
        <w:spacing w:line="26" w:lineRule="atLeast"/>
        <w:jc w:val="both"/>
        <w:rPr>
          <w:bCs/>
        </w:rPr>
      </w:pPr>
      <w:r w:rsidRPr="002F4A74">
        <w:rPr>
          <w:bCs/>
        </w:rPr>
        <w:t xml:space="preserve">niezależne władze lokalne z rocznym budżetem poniżej 10 milionów EUR oraz liczbą mieszkańców poniżej 5 000. </w:t>
      </w:r>
    </w:p>
    <w:p w14:paraId="271CA6EA" w14:textId="77777777" w:rsidR="00564771" w:rsidRPr="002F4A74" w:rsidRDefault="00564771" w:rsidP="00564771">
      <w:pPr>
        <w:spacing w:line="26" w:lineRule="atLeast"/>
        <w:jc w:val="both"/>
        <w:rPr>
          <w:b/>
        </w:rPr>
      </w:pPr>
      <w:r w:rsidRPr="002F4A74">
        <w:rPr>
          <w:b/>
        </w:rPr>
        <w:t>Powiązanego</w:t>
      </w:r>
    </w:p>
    <w:p w14:paraId="113C2D46" w14:textId="77777777" w:rsidR="00564771" w:rsidRPr="002F4A74" w:rsidRDefault="00564771" w:rsidP="00564771">
      <w:pPr>
        <w:spacing w:line="26" w:lineRule="atLeast"/>
        <w:jc w:val="both"/>
        <w:rPr>
          <w:bCs/>
        </w:rPr>
      </w:pPr>
      <w:r w:rsidRPr="002F4A74">
        <w:rPr>
          <w:bCs/>
        </w:rPr>
        <w:t xml:space="preserve">Każde przedsiębiorstwo, które pozostaje w jednym z poniższych związków: </w:t>
      </w:r>
    </w:p>
    <w:p w14:paraId="4CA1927C" w14:textId="77777777" w:rsidR="00564771" w:rsidRPr="002F4A74" w:rsidRDefault="00564771" w:rsidP="00564771">
      <w:pPr>
        <w:pStyle w:val="Akapitzlist"/>
        <w:numPr>
          <w:ilvl w:val="0"/>
          <w:numId w:val="16"/>
        </w:numPr>
        <w:spacing w:line="26" w:lineRule="atLeast"/>
        <w:rPr>
          <w:rFonts w:ascii="Times New Roman" w:eastAsia="Times New Roman" w:hAnsi="Times New Roman"/>
          <w:bCs/>
          <w:sz w:val="24"/>
          <w:szCs w:val="24"/>
        </w:rPr>
      </w:pPr>
      <w:r w:rsidRPr="002F4A74">
        <w:rPr>
          <w:rFonts w:ascii="Times New Roman" w:eastAsia="Times New Roman" w:hAnsi="Times New Roman"/>
          <w:bCs/>
          <w:sz w:val="24"/>
          <w:szCs w:val="24"/>
        </w:rPr>
        <w:t xml:space="preserve">przedsiębiorstwo ma większość praw głosu w innym przedsiębiorstwie w roli udziałowca/akcjonariusza lub członka; </w:t>
      </w:r>
    </w:p>
    <w:p w14:paraId="6D7D7C25" w14:textId="77777777" w:rsidR="00564771" w:rsidRPr="002F4A74" w:rsidRDefault="00564771" w:rsidP="00564771">
      <w:pPr>
        <w:pStyle w:val="Akapitzlist"/>
        <w:numPr>
          <w:ilvl w:val="0"/>
          <w:numId w:val="16"/>
        </w:numPr>
        <w:spacing w:line="26" w:lineRule="atLeast"/>
        <w:rPr>
          <w:rFonts w:ascii="Times New Roman" w:eastAsia="Times New Roman" w:hAnsi="Times New Roman"/>
          <w:bCs/>
          <w:sz w:val="24"/>
          <w:szCs w:val="24"/>
        </w:rPr>
      </w:pPr>
      <w:r w:rsidRPr="002F4A74">
        <w:rPr>
          <w:rFonts w:ascii="Times New Roman" w:eastAsia="Times New Roman" w:hAnsi="Times New Roman"/>
          <w:bCs/>
          <w:sz w:val="24"/>
          <w:szCs w:val="24"/>
        </w:rPr>
        <w:t xml:space="preserve">przedsiębiorstwo ma prawo wyznaczyć lub odwołać większość członków organu administracyjnego, zarządzającego lub nadzorczego innego przedsiębiorstwa; </w:t>
      </w:r>
    </w:p>
    <w:p w14:paraId="0210788D" w14:textId="77777777" w:rsidR="00564771" w:rsidRPr="002F4A74" w:rsidRDefault="00564771" w:rsidP="00564771">
      <w:pPr>
        <w:pStyle w:val="Akapitzlist"/>
        <w:numPr>
          <w:ilvl w:val="0"/>
          <w:numId w:val="16"/>
        </w:numPr>
        <w:spacing w:line="26" w:lineRule="atLeast"/>
        <w:rPr>
          <w:rFonts w:ascii="Times New Roman" w:eastAsia="Times New Roman" w:hAnsi="Times New Roman"/>
          <w:bCs/>
          <w:sz w:val="24"/>
          <w:szCs w:val="24"/>
        </w:rPr>
      </w:pPr>
      <w:r w:rsidRPr="002F4A74">
        <w:rPr>
          <w:rFonts w:ascii="Times New Roman" w:eastAsia="Times New Roman" w:hAnsi="Times New Roman"/>
          <w:bCs/>
          <w:sz w:val="24"/>
          <w:szCs w:val="24"/>
        </w:rPr>
        <w:t xml:space="preserve">przedsiębiorstwo ma prawo wywierać dominujący wpływ na inne przedsiębiorstwo na podstawie umowy zawartej z tym przedsiębiorstwem lub postanowień w jego statucie lub umowie spółki; </w:t>
      </w:r>
    </w:p>
    <w:p w14:paraId="4CED7C48" w14:textId="77777777" w:rsidR="00564771" w:rsidRPr="002F4A74" w:rsidRDefault="00564771" w:rsidP="00564771">
      <w:pPr>
        <w:pStyle w:val="Akapitzlist"/>
        <w:numPr>
          <w:ilvl w:val="0"/>
          <w:numId w:val="16"/>
        </w:numPr>
        <w:spacing w:line="26" w:lineRule="atLeast"/>
        <w:rPr>
          <w:rFonts w:ascii="Times New Roman" w:eastAsia="Times New Roman" w:hAnsi="Times New Roman"/>
          <w:bCs/>
          <w:sz w:val="24"/>
          <w:szCs w:val="24"/>
        </w:rPr>
      </w:pPr>
      <w:r w:rsidRPr="002F4A74">
        <w:rPr>
          <w:rFonts w:ascii="Times New Roman" w:eastAsia="Times New Roman" w:hAnsi="Times New Roman"/>
          <w:bCs/>
          <w:sz w:val="24"/>
          <w:szCs w:val="24"/>
        </w:rPr>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p w14:paraId="4DC5C5CD" w14:textId="77777777" w:rsidR="00564771" w:rsidRPr="002F4A74" w:rsidRDefault="00564771" w:rsidP="00564771">
      <w:pPr>
        <w:spacing w:line="26" w:lineRule="atLeast"/>
        <w:jc w:val="both"/>
      </w:pPr>
    </w:p>
    <w:p w14:paraId="37422CAE" w14:textId="77777777" w:rsidR="00564771" w:rsidRPr="002F4A74" w:rsidRDefault="00564771" w:rsidP="00564771">
      <w:pPr>
        <w:spacing w:line="26" w:lineRule="atLeast"/>
        <w:jc w:val="both"/>
      </w:pPr>
      <w:r w:rsidRPr="002F4A74">
        <w:t xml:space="preserve">Zakłada się, że wpływ dominujący nie istnieje, jeżeli inwestorzy wymienieni w ust. 2 akapit drugi załącznika I rozporządzenia Komisji Europejskiej Nr 651/2014 z dnia 17 czerwca 2014 r. uznające niektóre rodzaje pomocy za zgodne ze wspólnym rynkiem w zastosowaniu art. 107 i 108 Traktatu, nie angażują się bezpośrednio lub pośrednio w zarządzanie danym przedsiębiorstwem, bez uszczerbku dla ich praw jako udziałowców/ akcjonariuszy. </w:t>
      </w:r>
    </w:p>
    <w:p w14:paraId="00B8D593" w14:textId="77777777" w:rsidR="00564771" w:rsidRPr="002F4A74" w:rsidRDefault="00564771" w:rsidP="00564771">
      <w:pPr>
        <w:spacing w:line="26" w:lineRule="atLeast"/>
        <w:jc w:val="both"/>
      </w:pPr>
    </w:p>
    <w:p w14:paraId="4DE60B05" w14:textId="77777777" w:rsidR="00564771" w:rsidRPr="002F4A74" w:rsidRDefault="00564771" w:rsidP="00564771">
      <w:pPr>
        <w:spacing w:line="26" w:lineRule="atLeast"/>
        <w:jc w:val="both"/>
      </w:pPr>
      <w:r w:rsidRPr="002F4A74">
        <w:t>Przedsiębiorstwa, które pozostają w jednym ze związków opisanych w akapicie pierwszym ww. rozporządzenia za pośrednictwem co najmniej jednego przedsiębiorstwa, lub jednego z inwestorów, o których mowa w ust. 2 ww. rozporządzenia, również uznaje się za powią</w:t>
      </w:r>
      <w:r w:rsidRPr="002F4A74">
        <w:softHyphen/>
        <w:t xml:space="preserve">zane. </w:t>
      </w:r>
    </w:p>
    <w:p w14:paraId="0D419583" w14:textId="77777777" w:rsidR="00564771" w:rsidRPr="002F4A74" w:rsidRDefault="00564771" w:rsidP="00564771">
      <w:pPr>
        <w:spacing w:line="26" w:lineRule="atLeast"/>
        <w:jc w:val="both"/>
      </w:pPr>
    </w:p>
    <w:p w14:paraId="2811879A" w14:textId="77777777" w:rsidR="00564771" w:rsidRPr="002F4A74" w:rsidRDefault="00564771" w:rsidP="00564771">
      <w:pPr>
        <w:spacing w:line="26" w:lineRule="atLeast"/>
        <w:jc w:val="both"/>
        <w:rPr>
          <w:b/>
        </w:rPr>
      </w:pPr>
      <w:r w:rsidRPr="002F4A74">
        <w:rPr>
          <w:b/>
        </w:rPr>
        <w:t xml:space="preserve">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 </w:t>
      </w:r>
    </w:p>
    <w:p w14:paraId="438BDD96" w14:textId="77777777" w:rsidR="00564771" w:rsidRPr="002F4A74" w:rsidRDefault="00564771" w:rsidP="00564771">
      <w:pPr>
        <w:spacing w:line="26" w:lineRule="atLeast"/>
        <w:jc w:val="both"/>
      </w:pPr>
    </w:p>
    <w:p w14:paraId="67C097A2" w14:textId="77777777" w:rsidR="00564771" w:rsidRPr="002F4A74" w:rsidRDefault="00564771" w:rsidP="00564771">
      <w:pPr>
        <w:spacing w:line="26" w:lineRule="atLeast"/>
        <w:jc w:val="both"/>
      </w:pPr>
      <w:r w:rsidRPr="002F4A74">
        <w:t xml:space="preserve">Za „rynek pokrewny” uważa się rynek dla danego produktu lub usługi znajdujący się bezpośrednio na wyższym lub niższym szczeblu rynku w stosunku do rynku właściwego. </w:t>
      </w:r>
    </w:p>
    <w:p w14:paraId="62862161" w14:textId="77777777" w:rsidR="00564771" w:rsidRPr="002F4A74" w:rsidRDefault="00564771" w:rsidP="00564771">
      <w:pPr>
        <w:spacing w:line="26" w:lineRule="atLeast"/>
        <w:jc w:val="both"/>
      </w:pPr>
    </w:p>
    <w:p w14:paraId="4EBB65EC" w14:textId="77777777" w:rsidR="00564771" w:rsidRPr="002F4A74" w:rsidRDefault="00564771" w:rsidP="00564771">
      <w:pPr>
        <w:spacing w:line="26" w:lineRule="atLeast"/>
        <w:jc w:val="both"/>
      </w:pPr>
      <w:r w:rsidRPr="002F4A74">
        <w:t>Poza przypadkami określonymi w ust. 2 akapit drugi ww. rozporządzenia, przedsiębiorstwa nie można uznać za małe lub średnie przedsiębiorstwo, jeżeli 25 % lub więcej kapitału lub praw głosu kontroluje bezpośrednio lub pośrednio, wspólnie lub indywidualnie, co najmniej jeden organ publiczny.</w:t>
      </w:r>
    </w:p>
    <w:p w14:paraId="0641E6DB" w14:textId="1A3AC515" w:rsidR="00564771" w:rsidRDefault="00564771" w:rsidP="00564771">
      <w:pPr>
        <w:autoSpaceDE w:val="0"/>
        <w:autoSpaceDN w:val="0"/>
        <w:adjustRightInd w:val="0"/>
        <w:jc w:val="both"/>
        <w:rPr>
          <w:b/>
          <w:bCs/>
        </w:rPr>
      </w:pPr>
    </w:p>
    <w:p w14:paraId="5BA77AAA" w14:textId="4319A2E6" w:rsidR="003050BA" w:rsidRDefault="003050BA" w:rsidP="00564771">
      <w:pPr>
        <w:autoSpaceDE w:val="0"/>
        <w:autoSpaceDN w:val="0"/>
        <w:adjustRightInd w:val="0"/>
        <w:jc w:val="both"/>
        <w:rPr>
          <w:b/>
          <w:bCs/>
        </w:rPr>
      </w:pPr>
    </w:p>
    <w:p w14:paraId="498B34E9" w14:textId="77777777" w:rsidR="003050BA" w:rsidRPr="002F4A74" w:rsidRDefault="003050BA" w:rsidP="00564771">
      <w:pPr>
        <w:autoSpaceDE w:val="0"/>
        <w:autoSpaceDN w:val="0"/>
        <w:adjustRightInd w:val="0"/>
        <w:jc w:val="both"/>
        <w:rPr>
          <w:b/>
          <w:bCs/>
        </w:rPr>
      </w:pPr>
    </w:p>
    <w:p w14:paraId="2942040D" w14:textId="77777777" w:rsidR="00564771" w:rsidRPr="002F4A74" w:rsidRDefault="00564771" w:rsidP="00564771">
      <w:pPr>
        <w:autoSpaceDE w:val="0"/>
        <w:autoSpaceDN w:val="0"/>
        <w:adjustRightInd w:val="0"/>
        <w:jc w:val="both"/>
        <w:rPr>
          <w:b/>
          <w:bCs/>
        </w:rPr>
      </w:pPr>
    </w:p>
    <w:p w14:paraId="64A22BCE" w14:textId="77777777" w:rsidR="00564771" w:rsidRPr="002F4A74" w:rsidRDefault="00564771" w:rsidP="00564771">
      <w:pPr>
        <w:autoSpaceDE w:val="0"/>
        <w:autoSpaceDN w:val="0"/>
        <w:adjustRightInd w:val="0"/>
        <w:jc w:val="both"/>
        <w:rPr>
          <w:b/>
          <w:bCs/>
        </w:rPr>
      </w:pPr>
      <w:r w:rsidRPr="002F4A74">
        <w:rPr>
          <w:b/>
          <w:bCs/>
        </w:rPr>
        <w:lastRenderedPageBreak/>
        <w:t>Liczba osób zatrudnionych</w:t>
      </w:r>
    </w:p>
    <w:p w14:paraId="3C7769CF" w14:textId="439523D8" w:rsidR="00564771" w:rsidRPr="002F4A74" w:rsidRDefault="00564771" w:rsidP="00564771">
      <w:pPr>
        <w:autoSpaceDE w:val="0"/>
        <w:autoSpaceDN w:val="0"/>
        <w:adjustRightInd w:val="0"/>
        <w:jc w:val="both"/>
      </w:pPr>
      <w:r w:rsidRPr="002F4A74">
        <w:t>Zgodnie z zapisami art. 5 Załącznika nr 1 rozporządzenia Komisji Europejskiej Nr 651/2014 z dnia 17 czerwca 2014 r. uznające niektóre rodzaje pomocy za zgodne ze wspólnym rynkiem w zastosowaniu art. 107 i 108 Traktatu 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w:t>
      </w:r>
      <w:r w:rsidR="002F4A74">
        <w:t xml:space="preserve"> </w:t>
      </w:r>
      <w:r w:rsidRPr="002F4A74">
        <w:t xml:space="preserve">sezonowych jest obliczana jako część ułamkowa RJP. </w:t>
      </w:r>
      <w:r w:rsidRPr="002F4A74">
        <w:br/>
        <w:t>W skład personelu wchodzą:</w:t>
      </w:r>
    </w:p>
    <w:p w14:paraId="4C22FA39" w14:textId="77777777" w:rsidR="00564771" w:rsidRPr="002F4A74" w:rsidRDefault="00564771" w:rsidP="00564771">
      <w:pPr>
        <w:autoSpaceDE w:val="0"/>
        <w:autoSpaceDN w:val="0"/>
        <w:adjustRightInd w:val="0"/>
        <w:jc w:val="both"/>
      </w:pPr>
      <w:r w:rsidRPr="002F4A74">
        <w:t>a) pracownicy;</w:t>
      </w:r>
    </w:p>
    <w:p w14:paraId="74E6363E" w14:textId="77777777" w:rsidR="00564771" w:rsidRPr="002F4A74" w:rsidRDefault="00564771" w:rsidP="00564771">
      <w:pPr>
        <w:autoSpaceDE w:val="0"/>
        <w:autoSpaceDN w:val="0"/>
        <w:adjustRightInd w:val="0"/>
        <w:jc w:val="both"/>
      </w:pPr>
      <w:r w:rsidRPr="002F4A74">
        <w:t>b) osoby pracujące dla przedsiębiorstwa, podlegające mu i uważane za pracowników na mocy prawa krajowego;</w:t>
      </w:r>
    </w:p>
    <w:p w14:paraId="3EBBEB0D" w14:textId="77777777" w:rsidR="00564771" w:rsidRPr="002F4A74" w:rsidRDefault="00564771" w:rsidP="00564771">
      <w:pPr>
        <w:autoSpaceDE w:val="0"/>
        <w:autoSpaceDN w:val="0"/>
        <w:adjustRightInd w:val="0"/>
        <w:jc w:val="both"/>
      </w:pPr>
      <w:r w:rsidRPr="002F4A74">
        <w:t>c) właściciele – kierownicy;</w:t>
      </w:r>
    </w:p>
    <w:p w14:paraId="4A351562" w14:textId="77777777" w:rsidR="00564771" w:rsidRPr="002F4A74" w:rsidRDefault="00564771" w:rsidP="00564771">
      <w:pPr>
        <w:autoSpaceDE w:val="0"/>
        <w:autoSpaceDN w:val="0"/>
        <w:adjustRightInd w:val="0"/>
        <w:jc w:val="both"/>
      </w:pPr>
      <w:r w:rsidRPr="002F4A74">
        <w:t>d) partnerzy prowadzący regularną działalność w przedsiębiorstwie i czerpiący z niego korzyści finansowe.</w:t>
      </w:r>
    </w:p>
    <w:p w14:paraId="71822B43" w14:textId="77777777" w:rsidR="00564771" w:rsidRPr="002F4A74" w:rsidRDefault="00564771" w:rsidP="00564771">
      <w:pPr>
        <w:autoSpaceDE w:val="0"/>
        <w:autoSpaceDN w:val="0"/>
        <w:adjustRightInd w:val="0"/>
        <w:jc w:val="both"/>
      </w:pPr>
    </w:p>
    <w:p w14:paraId="29C2A14D" w14:textId="77777777" w:rsidR="00564771" w:rsidRPr="002F4A74" w:rsidRDefault="00564771" w:rsidP="00564771">
      <w:pPr>
        <w:autoSpaceDE w:val="0"/>
        <w:autoSpaceDN w:val="0"/>
        <w:adjustRightInd w:val="0"/>
        <w:jc w:val="both"/>
      </w:pPr>
      <w:r w:rsidRPr="002F4A74">
        <w:t>Praktykanci lub studenci odbywający szkolenie zawodowe na podstawie umowy o praktyce lub szkoleniu zawodowym nie wchodzą w skład personelu. Nie wlicza się okresu trwania urlopu macierzyńskiego ani wychowawczego.</w:t>
      </w:r>
    </w:p>
    <w:p w14:paraId="2AB2D978" w14:textId="77777777" w:rsidR="00564771" w:rsidRPr="002F4A74" w:rsidRDefault="00564771" w:rsidP="00564771">
      <w:pPr>
        <w:autoSpaceDE w:val="0"/>
        <w:autoSpaceDN w:val="0"/>
        <w:adjustRightInd w:val="0"/>
        <w:jc w:val="both"/>
      </w:pPr>
    </w:p>
    <w:p w14:paraId="33876BCB" w14:textId="744F8BB6" w:rsidR="00564771" w:rsidRPr="002F4A74" w:rsidRDefault="00564771" w:rsidP="00564771">
      <w:pPr>
        <w:autoSpaceDE w:val="0"/>
        <w:autoSpaceDN w:val="0"/>
        <w:adjustRightInd w:val="0"/>
        <w:jc w:val="both"/>
      </w:pPr>
      <w:r w:rsidRPr="002F4A74">
        <w:t>Za roczną jednostkę pracy (RJP) powinno się przyjmować każdą osobę faktycznie wykonującą pracę na rzecz przedsiębiorstwa, nie zaś wyłącznie osoby pozostające z nim w stosunku pracy w rozumieniu prawa polskiego. Zatem, w odniesieniu do umów cywilnoprawnych zawieranych przez przedsiębiorstwo z osobami wykonującymi w swoim imieniu działalność gospodarczą (pozostającymi w tzw. samo zatrudnieniu) stwierdzić należy, iż podobnie jak w przypadku definicji przedsiębiorstwa za</w:t>
      </w:r>
      <w:r w:rsidR="002F4A74">
        <w:t xml:space="preserve"> </w:t>
      </w:r>
      <w:r w:rsidRPr="002F4A74">
        <w:t>decydujący należy uznać aspekt funkcjonalny. W przypadku, gdy praca wykonywana jest według zasad</w:t>
      </w:r>
      <w:r w:rsidR="002F4A74">
        <w:t xml:space="preserve"> </w:t>
      </w:r>
      <w:r w:rsidRPr="002F4A74">
        <w:t>tworzących stosunek pracy, uważa się, iż osoba zatrudniona jest pracownikiem w rozumieniu przepisów prawa krajowego. W zaistniałej sytuacji osoby zatrudnione na ww. warunkach należy uwzględniać jako RJP, przy czym bez znaczenia pozostaje nazwa umowy, w oparciu o którą wykonywane są czynności na rzecz przedsiębiorstwa (np. „umowa o dzieło”, „umowa zlecenia”, umowa z agencją pośrednictwa pracy). Koniecznym jest więc każdorazowe przeanalizowanie faktycznej treści stosunku łączącego strony.</w:t>
      </w:r>
    </w:p>
    <w:p w14:paraId="6D3F1659" w14:textId="77777777" w:rsidR="00564771" w:rsidRPr="002F4A74" w:rsidRDefault="00564771" w:rsidP="00564771">
      <w:pPr>
        <w:autoSpaceDE w:val="0"/>
        <w:autoSpaceDN w:val="0"/>
        <w:adjustRightInd w:val="0"/>
        <w:jc w:val="both"/>
      </w:pPr>
    </w:p>
    <w:p w14:paraId="2849443D" w14:textId="77777777" w:rsidR="00564771" w:rsidRPr="002F4A74" w:rsidRDefault="00564771" w:rsidP="00564771">
      <w:pPr>
        <w:autoSpaceDE w:val="0"/>
        <w:autoSpaceDN w:val="0"/>
        <w:adjustRightInd w:val="0"/>
        <w:jc w:val="both"/>
        <w:rPr>
          <w:b/>
          <w:bCs/>
        </w:rPr>
      </w:pPr>
      <w:r w:rsidRPr="002F4A74">
        <w:rPr>
          <w:b/>
          <w:bCs/>
        </w:rPr>
        <w:t>Okres referencyjny</w:t>
      </w:r>
    </w:p>
    <w:p w14:paraId="2C5EFB1F" w14:textId="22296C68" w:rsidR="00564771" w:rsidRPr="002F4A74" w:rsidRDefault="00564771" w:rsidP="00564771">
      <w:pPr>
        <w:autoSpaceDE w:val="0"/>
        <w:autoSpaceDN w:val="0"/>
        <w:adjustRightInd w:val="0"/>
        <w:jc w:val="both"/>
      </w:pPr>
      <w:r w:rsidRPr="002F4A74">
        <w:t>Dla określenia zmiany statusu przedsiębiorcy należy uwzględniać dane odnoszące się do zamkniętego</w:t>
      </w:r>
      <w:r w:rsidR="002F4A74">
        <w:t xml:space="preserve"> </w:t>
      </w:r>
      <w:r w:rsidRPr="002F4A74">
        <w:t>okresu obrachunkowego bez czekania na zatwierdzenie tych danych (to jest w praktyce w większości</w:t>
      </w:r>
      <w:r w:rsidR="002F4A74">
        <w:t xml:space="preserve"> </w:t>
      </w:r>
      <w:r w:rsidRPr="002F4A74">
        <w:t>przedsiębiorstw od dnia 1 stycznia kolejnego roku).</w:t>
      </w:r>
    </w:p>
    <w:p w14:paraId="52D49EE4" w14:textId="77777777" w:rsidR="00564771" w:rsidRPr="002F4A74" w:rsidRDefault="00564771" w:rsidP="00564771">
      <w:pPr>
        <w:autoSpaceDE w:val="0"/>
        <w:autoSpaceDN w:val="0"/>
        <w:adjustRightInd w:val="0"/>
        <w:jc w:val="both"/>
      </w:pPr>
    </w:p>
    <w:p w14:paraId="41E0675F" w14:textId="1C89E916" w:rsidR="00564771" w:rsidRDefault="00564771" w:rsidP="00564771">
      <w:pPr>
        <w:autoSpaceDE w:val="0"/>
        <w:autoSpaceDN w:val="0"/>
        <w:adjustRightInd w:val="0"/>
        <w:jc w:val="both"/>
      </w:pPr>
      <w:r w:rsidRPr="002F4A74">
        <w:t xml:space="preserve">W odniesieniu do przedsiębiorstw nowopowstałych, które nie mają jeszcze zamkniętego pierwszego okresu obrachunkowego, dane służące do określenia statusu MŚP powinny pochodzić z oceny dokonanej w dobrej wierze w trakcie roku obrachunkowego. Określenie statusu przedsiębiorstwa nowopowstałego powinno opierać się na danych aktualnych na dzień ubiegania się o wsparcie i odzwierciedlać prognozy dla całego bieżącego okresu obrachunkowego. Wszelkie przyjęte przez wnioskodawcę wartości powinny znajdować oparcie </w:t>
      </w:r>
      <w:r w:rsidRPr="002F4A74">
        <w:lastRenderedPageBreak/>
        <w:t>w dokumentacji przedsiębiorstwa, a zakładane prognozy dotyczące poziomu zatrudnienia oraz wyników finansowych należy stosownie umotywować.</w:t>
      </w:r>
    </w:p>
    <w:p w14:paraId="71BFB6F9" w14:textId="77777777" w:rsidR="0025608E" w:rsidRPr="002F4A74" w:rsidRDefault="0025608E" w:rsidP="00564771">
      <w:pPr>
        <w:autoSpaceDE w:val="0"/>
        <w:autoSpaceDN w:val="0"/>
        <w:adjustRightInd w:val="0"/>
        <w:jc w:val="both"/>
      </w:pPr>
    </w:p>
    <w:p w14:paraId="58EA797B" w14:textId="77777777" w:rsidR="00564771" w:rsidRPr="002F4A74" w:rsidRDefault="00564771" w:rsidP="00564771">
      <w:pPr>
        <w:autoSpaceDE w:val="0"/>
        <w:autoSpaceDN w:val="0"/>
        <w:adjustRightInd w:val="0"/>
        <w:jc w:val="both"/>
      </w:pPr>
    </w:p>
    <w:p w14:paraId="364358F3" w14:textId="77777777" w:rsidR="00564771" w:rsidRPr="002F4A74" w:rsidRDefault="00564771" w:rsidP="00564771">
      <w:pPr>
        <w:autoSpaceDE w:val="0"/>
        <w:autoSpaceDN w:val="0"/>
        <w:adjustRightInd w:val="0"/>
        <w:jc w:val="both"/>
        <w:rPr>
          <w:b/>
          <w:bCs/>
        </w:rPr>
      </w:pPr>
      <w:r w:rsidRPr="002F4A74">
        <w:rPr>
          <w:b/>
          <w:bCs/>
        </w:rPr>
        <w:t>Przedsiębiorstwo powiązane - powiązania osobowe</w:t>
      </w:r>
    </w:p>
    <w:p w14:paraId="5411F9D1" w14:textId="35714F3D" w:rsidR="00564771" w:rsidRPr="002F4A74" w:rsidRDefault="00564771" w:rsidP="00564771">
      <w:pPr>
        <w:autoSpaceDE w:val="0"/>
        <w:autoSpaceDN w:val="0"/>
        <w:adjustRightInd w:val="0"/>
        <w:jc w:val="both"/>
      </w:pPr>
      <w:r w:rsidRPr="002F4A74">
        <w:t>Istotnym aspektem w zakresie powiązań są relacje zachodzące pomiędzy przedsiębiorstwami za pośrednictwem kontrolujących je osób fizycznych (nie chodzi tu o osoby fizyczne prowadzące indywidualną działalność gospodarczą na podstawie wpisu do Ewidencji Działalności Gospodarczej, gdyż takie traktowane są jako przedsiębiorstwa na gruncie art. 1 Załącznika nr 1 rozporządzenia Komisji</w:t>
      </w:r>
      <w:r w:rsidR="002F4A74">
        <w:t xml:space="preserve"> </w:t>
      </w:r>
      <w:r w:rsidRPr="002F4A74">
        <w:t>Europejskiej Nr 651/2014 z dnia 17 czerwca 2014 r. uznające niektóre rodzaje pomocy za zgodne ze wspólnym rynkiem w zastosowaniu art. 107 i 108 Traktatu). Zgodnie z treścią art. 3 ust. 3 ww. rozporządzenia powiązanie należy stwierdzić także, jeżeli zachodzi ono poprzez osobę fizyczną, przy czym konieczne jest ustalenie, że rozpatrywane podmioty prowadzą działalność na tym samym rynku</w:t>
      </w:r>
      <w:r w:rsidR="002F4A74">
        <w:t xml:space="preserve"> </w:t>
      </w:r>
      <w:r w:rsidRPr="002F4A74">
        <w:t>lub rynkach pokrewnych. Osoby fizyczne oznaczają w tym przypadku wspólników, udziałowców, akcjonariuszy, członków zarządu, prokurentów i wszelkie inne osoby fizyczne mające faktyczny wpływ</w:t>
      </w:r>
      <w:r w:rsidR="002F4A74">
        <w:t xml:space="preserve"> </w:t>
      </w:r>
      <w:r w:rsidRPr="002F4A74">
        <w:t>na zarządzanie przedsiębiorstwem. Przykładowo fakt występowania, tożsamych pod względem osobowym, struktur zarządu w dwóch spółkach z o. o. stanowiłby przesłankę do stwierdzenia powiązania pomiędzy nimi. Podobnie należałoby uznać w przypadku, w którym jedna osoba fizyczna</w:t>
      </w:r>
      <w:r w:rsidR="002F4A74">
        <w:t xml:space="preserve"> </w:t>
      </w:r>
      <w:r w:rsidRPr="002F4A74">
        <w:t>posiadałaby uprawnienia umożliwiające kontrolowanie dwóch formalnie odrębnych podmiotów.</w:t>
      </w:r>
    </w:p>
    <w:p w14:paraId="50A9A2DD" w14:textId="77777777" w:rsidR="00564771" w:rsidRPr="002F4A74" w:rsidRDefault="00564771" w:rsidP="00564771">
      <w:pPr>
        <w:autoSpaceDE w:val="0"/>
        <w:autoSpaceDN w:val="0"/>
        <w:adjustRightInd w:val="0"/>
        <w:jc w:val="both"/>
      </w:pPr>
    </w:p>
    <w:p w14:paraId="3CA40FB4" w14:textId="255B663F" w:rsidR="00564771" w:rsidRPr="002F4A74" w:rsidRDefault="00564771" w:rsidP="00564771">
      <w:pPr>
        <w:autoSpaceDE w:val="0"/>
        <w:autoSpaceDN w:val="0"/>
        <w:adjustRightInd w:val="0"/>
        <w:jc w:val="both"/>
      </w:pPr>
      <w:r w:rsidRPr="002F4A74">
        <w:t>Powiązanie nie musi koniecznie zachodzić przez – literalnie – te same osoby fizyczne, ale może się także</w:t>
      </w:r>
      <w:r w:rsidR="002F4A74">
        <w:t xml:space="preserve"> </w:t>
      </w:r>
      <w:r w:rsidRPr="002F4A74">
        <w:t>opierać na związkach o charakterze rodzinnym czy biznesowym. O ile pojęcie tożsamego rynku właściwego wydaje się jasne, o tyle wyjaśnienia wymaga zakres pojęciowy wyrażenia „rynki pokrewne”.</w:t>
      </w:r>
    </w:p>
    <w:p w14:paraId="7CFB451A" w14:textId="77777777" w:rsidR="00564771" w:rsidRPr="002F4A74" w:rsidRDefault="00564771" w:rsidP="00564771">
      <w:pPr>
        <w:autoSpaceDE w:val="0"/>
        <w:autoSpaceDN w:val="0"/>
        <w:adjustRightInd w:val="0"/>
        <w:jc w:val="both"/>
      </w:pPr>
    </w:p>
    <w:p w14:paraId="10DD0BEB" w14:textId="2740CC6C" w:rsidR="00564771" w:rsidRPr="002F4A74" w:rsidRDefault="00564771" w:rsidP="00564771">
      <w:pPr>
        <w:autoSpaceDE w:val="0"/>
        <w:autoSpaceDN w:val="0"/>
        <w:adjustRightInd w:val="0"/>
        <w:jc w:val="both"/>
      </w:pPr>
      <w:r w:rsidRPr="002F4A74">
        <w:t>Ww. rozporządzenie za rynek pokrewny uznaje rynek danego produktu lub usługi znajdujący się bezpośrednio na niższym lub wyższym szczeblu w stosunku do właściwego rynku. Powyższe oznacza zależność w rodzaju: wytwórca materiału służącego do produkcji artykułu – producent artykułu – dystrybutor artykułu, przy czym wytwórca oraz dystrybutor działają na rynkach pokrewnych względem</w:t>
      </w:r>
      <w:r w:rsidR="002F4A74">
        <w:t xml:space="preserve"> </w:t>
      </w:r>
      <w:r w:rsidRPr="002F4A74">
        <w:t>producenta, zaś producent na rynku pokrewnym względem wytwórcy oraz dystrybutora.</w:t>
      </w:r>
    </w:p>
    <w:p w14:paraId="0B1EDF96" w14:textId="77777777" w:rsidR="00564771" w:rsidRPr="002F4A74" w:rsidRDefault="00564771" w:rsidP="00564771">
      <w:pPr>
        <w:autoSpaceDE w:val="0"/>
        <w:autoSpaceDN w:val="0"/>
        <w:adjustRightInd w:val="0"/>
        <w:jc w:val="both"/>
      </w:pPr>
    </w:p>
    <w:p w14:paraId="15F7B23C" w14:textId="7746A865" w:rsidR="00564771" w:rsidRPr="002F4A74" w:rsidRDefault="00564771" w:rsidP="00564771">
      <w:pPr>
        <w:autoSpaceDE w:val="0"/>
        <w:autoSpaceDN w:val="0"/>
        <w:adjustRightInd w:val="0"/>
        <w:jc w:val="both"/>
      </w:pPr>
      <w:r w:rsidRPr="002F4A74">
        <w:t>Ponadto elementem fundamentalnym dla stwierdzenia powiązań pomiędzy przedsiębiorstwami jest</w:t>
      </w:r>
      <w:r w:rsidR="002F4A74">
        <w:t xml:space="preserve"> </w:t>
      </w:r>
      <w:r w:rsidRPr="002F4A74">
        <w:t>istnienie okoliczności faktycznych wskazujących na współdziałanie. O powyższym świadczyć mogą w szczególności:</w:t>
      </w:r>
    </w:p>
    <w:p w14:paraId="5A7D690F" w14:textId="77777777" w:rsidR="00564771" w:rsidRPr="002F4A74" w:rsidRDefault="00564771" w:rsidP="00564771">
      <w:pPr>
        <w:autoSpaceDE w:val="0"/>
        <w:autoSpaceDN w:val="0"/>
        <w:adjustRightInd w:val="0"/>
        <w:jc w:val="both"/>
      </w:pPr>
      <w:r w:rsidRPr="002F4A74">
        <w:t>- wzajemne korzystanie ze swoich zasobów (finansowych, majątkowych) przez podmioty powiązane;</w:t>
      </w:r>
    </w:p>
    <w:p w14:paraId="1834464F" w14:textId="77777777" w:rsidR="00564771" w:rsidRPr="002F4A74" w:rsidRDefault="00564771" w:rsidP="00564771">
      <w:pPr>
        <w:jc w:val="both"/>
      </w:pPr>
      <w:r w:rsidRPr="002F4A74">
        <w:t>- posługiwanie się tożsamymi oznaczeniami indywidualizującymi podmiot w obrocie;</w:t>
      </w:r>
    </w:p>
    <w:p w14:paraId="287A00B8" w14:textId="77777777" w:rsidR="00564771" w:rsidRPr="002F4A74" w:rsidRDefault="00564771" w:rsidP="00564771">
      <w:pPr>
        <w:jc w:val="both"/>
      </w:pPr>
      <w:r w:rsidRPr="002F4A74">
        <w:t>- funkcjonowanie pod tym samym adresem siedziby lub pod adresami nieruchomości powiązanych ze sobą w dowolny sposób funkcjonalny;</w:t>
      </w:r>
    </w:p>
    <w:p w14:paraId="6B7A5946" w14:textId="77777777" w:rsidR="00564771" w:rsidRPr="002F4A74" w:rsidRDefault="00564771" w:rsidP="00564771">
      <w:pPr>
        <w:autoSpaceDE w:val="0"/>
        <w:autoSpaceDN w:val="0"/>
        <w:adjustRightInd w:val="0"/>
        <w:jc w:val="both"/>
      </w:pPr>
      <w:r w:rsidRPr="002F4A74">
        <w:t>- tożsamość (choćby częściowa) kadry pracowniczej;</w:t>
      </w:r>
    </w:p>
    <w:p w14:paraId="4FBFC8BE" w14:textId="77777777" w:rsidR="00564771" w:rsidRPr="002F4A74" w:rsidRDefault="00564771" w:rsidP="00564771">
      <w:pPr>
        <w:autoSpaceDE w:val="0"/>
        <w:autoSpaceDN w:val="0"/>
        <w:adjustRightInd w:val="0"/>
        <w:jc w:val="both"/>
      </w:pPr>
      <w:r w:rsidRPr="002F4A74">
        <w:t>- wspólna strategia rozwoju;</w:t>
      </w:r>
    </w:p>
    <w:p w14:paraId="0B84F3AC" w14:textId="77777777" w:rsidR="00564771" w:rsidRPr="002F4A74" w:rsidRDefault="00564771" w:rsidP="00564771">
      <w:pPr>
        <w:autoSpaceDE w:val="0"/>
        <w:autoSpaceDN w:val="0"/>
        <w:adjustRightInd w:val="0"/>
        <w:jc w:val="both"/>
      </w:pPr>
      <w:r w:rsidRPr="002F4A74">
        <w:t>- tożsamość (choćby częściowa) kanałów dystrybucji;</w:t>
      </w:r>
    </w:p>
    <w:p w14:paraId="0684CE60" w14:textId="77777777" w:rsidR="00564771" w:rsidRPr="002F4A74" w:rsidRDefault="00564771" w:rsidP="00564771">
      <w:pPr>
        <w:autoSpaceDE w:val="0"/>
        <w:autoSpaceDN w:val="0"/>
        <w:adjustRightInd w:val="0"/>
        <w:jc w:val="both"/>
      </w:pPr>
      <w:r w:rsidRPr="002F4A74">
        <w:t>- wspólna strategia marketingowa;</w:t>
      </w:r>
    </w:p>
    <w:p w14:paraId="2FEDF7E4" w14:textId="77777777" w:rsidR="00564771" w:rsidRPr="002F4A74" w:rsidRDefault="00564771" w:rsidP="00564771">
      <w:pPr>
        <w:autoSpaceDE w:val="0"/>
        <w:autoSpaceDN w:val="0"/>
        <w:adjustRightInd w:val="0"/>
        <w:jc w:val="both"/>
      </w:pPr>
      <w:r w:rsidRPr="002F4A74">
        <w:t>- wspólne występowanie w postępowaniach o udzielenie zamówienia;</w:t>
      </w:r>
    </w:p>
    <w:p w14:paraId="574BB673" w14:textId="77777777" w:rsidR="00564771" w:rsidRPr="002F4A74" w:rsidRDefault="00564771" w:rsidP="00564771">
      <w:pPr>
        <w:autoSpaceDE w:val="0"/>
        <w:autoSpaceDN w:val="0"/>
        <w:adjustRightInd w:val="0"/>
        <w:jc w:val="both"/>
      </w:pPr>
      <w:r w:rsidRPr="002F4A74">
        <w:lastRenderedPageBreak/>
        <w:t>- zawarte umowy o współpracy.</w:t>
      </w:r>
    </w:p>
    <w:p w14:paraId="0EA344B4" w14:textId="77777777" w:rsidR="00564771" w:rsidRPr="002F4A74" w:rsidRDefault="00564771" w:rsidP="00564771">
      <w:pPr>
        <w:autoSpaceDE w:val="0"/>
        <w:autoSpaceDN w:val="0"/>
        <w:adjustRightInd w:val="0"/>
        <w:jc w:val="both"/>
      </w:pPr>
    </w:p>
    <w:p w14:paraId="72D25CF2" w14:textId="31702612" w:rsidR="00564771" w:rsidRPr="002F4A74" w:rsidRDefault="00564771" w:rsidP="00564771">
      <w:pPr>
        <w:autoSpaceDE w:val="0"/>
        <w:autoSpaceDN w:val="0"/>
        <w:adjustRightInd w:val="0"/>
        <w:jc w:val="both"/>
      </w:pPr>
      <w:r w:rsidRPr="002F4A74">
        <w:t>Przedstawione powyżej wyliczenie ma charakter przykładowy i nie stanowi katalogu zamkniętego przesłanek, które mogą stanąć u podstaw stwierdzenia powiązania, lecz ma na celu ukazanie szerokości</w:t>
      </w:r>
      <w:r w:rsidR="002F4A74">
        <w:t xml:space="preserve"> </w:t>
      </w:r>
      <w:r w:rsidRPr="002F4A74">
        <w:t xml:space="preserve">spektrum badania zależności zachodzących pomiędzy przedsiębiorstwami. Badanie relacji </w:t>
      </w:r>
      <w:r w:rsidR="002F4A74">
        <w:t xml:space="preserve"> </w:t>
      </w:r>
      <w:r w:rsidRPr="002F4A74">
        <w:t>w odniesieniu do konkretnego podmiotu aplikującego o dofinansowanie każdorazowo będzie dotyczyć</w:t>
      </w:r>
      <w:r w:rsidR="002F4A74">
        <w:t xml:space="preserve"> </w:t>
      </w:r>
      <w:r w:rsidRPr="002F4A74">
        <w:t xml:space="preserve">całego szeregu okoliczności analizowanych pod kątem faktycznego ich wpływu na pozycję rynkową  wnioskodawcy. Stwierdzenie, że pomiędzy przedsiębiorstwami zachodzą opisywane związki </w:t>
      </w:r>
      <w:r w:rsidR="002F4A74">
        <w:t xml:space="preserve"> </w:t>
      </w:r>
      <w:r w:rsidRPr="002F4A74">
        <w:t>o charakterze faktycznym może skutkować zaistnieniem pomiędzy nimi powiązania nawet w braku przekroczenia progów przewidzianych w art. 3 ust. 3 lit. a, b, c, d Załącznika nr 1 rozporządzenia Komisji</w:t>
      </w:r>
      <w:r w:rsidR="002F4A74">
        <w:t xml:space="preserve"> </w:t>
      </w:r>
      <w:r w:rsidRPr="002F4A74">
        <w:t>Europejskiej Nr 651/2014 z dnia 17 czerwca 2014 r., czy też zaistnienia bezpośrednich relacji poprzez osoby fizyczne. Przesłanką dla stwierdzenia powiązania będzie w tym przypadku faktyczne funkcjonowanie na rynku jako jedna jednostka gospodarcza, złożona z podmiotów formalnie od siebie</w:t>
      </w:r>
      <w:r w:rsidR="002F4A74">
        <w:t xml:space="preserve"> </w:t>
      </w:r>
      <w:r w:rsidRPr="002F4A74">
        <w:t>odrębnych.</w:t>
      </w:r>
    </w:p>
    <w:p w14:paraId="0B44ACE6" w14:textId="77777777" w:rsidR="00564771" w:rsidRPr="002F4A74" w:rsidRDefault="00564771" w:rsidP="00564771">
      <w:pPr>
        <w:autoSpaceDE w:val="0"/>
        <w:autoSpaceDN w:val="0"/>
        <w:adjustRightInd w:val="0"/>
        <w:jc w:val="both"/>
      </w:pPr>
    </w:p>
    <w:p w14:paraId="64A9A621" w14:textId="77777777" w:rsidR="00564771" w:rsidRPr="002F4A74" w:rsidRDefault="00564771" w:rsidP="00564771">
      <w:pPr>
        <w:autoSpaceDE w:val="0"/>
        <w:autoSpaceDN w:val="0"/>
        <w:adjustRightInd w:val="0"/>
        <w:jc w:val="both"/>
        <w:rPr>
          <w:b/>
          <w:bCs/>
        </w:rPr>
      </w:pPr>
      <w:r w:rsidRPr="002F4A74">
        <w:rPr>
          <w:b/>
          <w:bCs/>
        </w:rPr>
        <w:t>Przedsiębiorstwa partnerskie</w:t>
      </w:r>
    </w:p>
    <w:p w14:paraId="3B04A378" w14:textId="382034E8" w:rsidR="00564771" w:rsidRPr="002F4A74" w:rsidRDefault="00564771" w:rsidP="00564771">
      <w:pPr>
        <w:autoSpaceDE w:val="0"/>
        <w:autoSpaceDN w:val="0"/>
        <w:adjustRightInd w:val="0"/>
        <w:jc w:val="both"/>
      </w:pPr>
      <w:r w:rsidRPr="002F4A74">
        <w:t>Nie ma znaczenia okoliczność czy to Wnioskodawca posiada udziały w innym przedsiębiorstwie czy też</w:t>
      </w:r>
      <w:r w:rsidR="002F4A74">
        <w:t xml:space="preserve"> </w:t>
      </w:r>
      <w:r w:rsidRPr="002F4A74">
        <w:t>to inne przedsiębiorstwo posiada udziały w przedsiębiorstwie Wnioskodawcy, nieistotnym, dla stwierdzenia relacji o charakterze partnerskim, pozostaje zatem „kierunek” zachodzącego partnerstwa.</w:t>
      </w:r>
    </w:p>
    <w:p w14:paraId="3BFFFC53" w14:textId="77777777" w:rsidR="00564771" w:rsidRPr="002F4A74" w:rsidRDefault="00564771" w:rsidP="00564771">
      <w:pPr>
        <w:autoSpaceDE w:val="0"/>
        <w:autoSpaceDN w:val="0"/>
        <w:adjustRightInd w:val="0"/>
        <w:jc w:val="both"/>
      </w:pPr>
    </w:p>
    <w:p w14:paraId="09CB2148" w14:textId="77777777" w:rsidR="00564771" w:rsidRPr="002F4A74" w:rsidRDefault="00564771" w:rsidP="00564771">
      <w:pPr>
        <w:rPr>
          <w:szCs w:val="24"/>
        </w:rPr>
      </w:pPr>
    </w:p>
    <w:sectPr w:rsidR="00564771" w:rsidRPr="002F4A74" w:rsidSect="00564771">
      <w:headerReference w:type="default" r:id="rId7"/>
      <w:footerReference w:type="even" r:id="rId8"/>
      <w:footerReference w:type="default" r:id="rId9"/>
      <w:pgSz w:w="11906" w:h="16838"/>
      <w:pgMar w:top="568" w:right="1417" w:bottom="1417" w:left="1417" w:header="708" w:footer="708" w:gutter="0"/>
      <w:pgNumType w:start="3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C4A07" w14:textId="77777777" w:rsidR="00720470" w:rsidRDefault="00720470">
      <w:r>
        <w:separator/>
      </w:r>
    </w:p>
  </w:endnote>
  <w:endnote w:type="continuationSeparator" w:id="0">
    <w:p w14:paraId="0FF2C4B2" w14:textId="77777777" w:rsidR="00720470" w:rsidRDefault="0072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4E47" w14:textId="77777777" w:rsidR="00451467" w:rsidRDefault="00AE2444" w:rsidP="00D82033">
    <w:pPr>
      <w:pStyle w:val="Stopka"/>
      <w:framePr w:wrap="around" w:vAnchor="text" w:hAnchor="margin" w:xAlign="outside" w:y="1"/>
      <w:rPr>
        <w:rStyle w:val="Numerstrony"/>
      </w:rPr>
    </w:pPr>
    <w:r>
      <w:rPr>
        <w:rStyle w:val="Numerstrony"/>
      </w:rPr>
      <w:fldChar w:fldCharType="begin"/>
    </w:r>
    <w:r w:rsidR="00451467">
      <w:rPr>
        <w:rStyle w:val="Numerstrony"/>
      </w:rPr>
      <w:instrText xml:space="preserve">PAGE  </w:instrText>
    </w:r>
    <w:r>
      <w:rPr>
        <w:rStyle w:val="Numerstrony"/>
      </w:rPr>
      <w:fldChar w:fldCharType="end"/>
    </w:r>
  </w:p>
  <w:p w14:paraId="37BCCA6B" w14:textId="77777777" w:rsidR="00451467" w:rsidRDefault="00451467" w:rsidP="00D8203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E7085" w14:textId="77777777" w:rsidR="00451467" w:rsidRDefault="00451467" w:rsidP="00D82033">
    <w:pPr>
      <w:pStyle w:val="Stopka"/>
      <w:ind w:right="360" w:firstLine="360"/>
    </w:pPr>
  </w:p>
  <w:p w14:paraId="630F64D2" w14:textId="77777777" w:rsidR="0032210C" w:rsidRDefault="003221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5B0EC" w14:textId="77777777" w:rsidR="00720470" w:rsidRDefault="00720470">
      <w:r>
        <w:separator/>
      </w:r>
    </w:p>
  </w:footnote>
  <w:footnote w:type="continuationSeparator" w:id="0">
    <w:p w14:paraId="68F7ED84" w14:textId="77777777" w:rsidR="00720470" w:rsidRDefault="0072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20C77" w14:textId="7A70FB4E" w:rsidR="00451467" w:rsidRPr="00E46433" w:rsidRDefault="00564771" w:rsidP="003D6BB8">
    <w:pPr>
      <w:pStyle w:val="Nagwek"/>
      <w:jc w:val="right"/>
      <w:rPr>
        <w:rFonts w:asciiTheme="minorHAnsi" w:hAnsiTheme="minorHAnsi" w:cstheme="minorHAnsi"/>
        <w:i/>
        <w:szCs w:val="24"/>
      </w:rPr>
    </w:pPr>
    <w:r>
      <w:rPr>
        <w:noProof/>
      </w:rPr>
      <w:drawing>
        <wp:inline distT="0" distB="0" distL="0" distR="0" wp14:anchorId="5FC73A4E" wp14:editId="456F69D5">
          <wp:extent cx="1965120" cy="963930"/>
          <wp:effectExtent l="0" t="0" r="0" b="762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338" cy="975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0FC"/>
    <w:multiLevelType w:val="hybridMultilevel"/>
    <w:tmpl w:val="BE22CD4E"/>
    <w:lvl w:ilvl="0" w:tplc="28BCF6B6">
      <w:start w:val="1"/>
      <w:numFmt w:val="lowerLetter"/>
      <w:lvlText w:val="%1)"/>
      <w:lvlJc w:val="left"/>
      <w:pPr>
        <w:tabs>
          <w:tab w:val="num" w:pos="720"/>
        </w:tabs>
        <w:ind w:left="720" w:hanging="360"/>
      </w:pPr>
      <w:rPr>
        <w:rFonts w:hint="default"/>
      </w:rPr>
    </w:lvl>
    <w:lvl w:ilvl="1" w:tplc="48CC2B9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8B91D34"/>
    <w:multiLevelType w:val="hybridMultilevel"/>
    <w:tmpl w:val="238C1BF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7EE12C1"/>
    <w:multiLevelType w:val="hybridMultilevel"/>
    <w:tmpl w:val="1AFECE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B816CE"/>
    <w:multiLevelType w:val="hybridMultilevel"/>
    <w:tmpl w:val="C1FC9AB2"/>
    <w:lvl w:ilvl="0" w:tplc="DDB2B2F2">
      <w:start w:val="1"/>
      <w:numFmt w:val="bullet"/>
      <w:lvlText w:val=""/>
      <w:lvlJc w:val="left"/>
      <w:pPr>
        <w:tabs>
          <w:tab w:val="num" w:pos="720"/>
        </w:tabs>
        <w:ind w:left="720" w:hanging="360"/>
      </w:pPr>
      <w:rPr>
        <w:rFonts w:ascii="Symbol" w:hAnsi="Symbol" w:hint="default"/>
      </w:rPr>
    </w:lvl>
    <w:lvl w:ilvl="1" w:tplc="BC023336">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3E1A275C"/>
    <w:multiLevelType w:val="hybridMultilevel"/>
    <w:tmpl w:val="8490FBBA"/>
    <w:lvl w:ilvl="0" w:tplc="0C58CE0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FA85C79"/>
    <w:multiLevelType w:val="hybridMultilevel"/>
    <w:tmpl w:val="97C83E3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15061"/>
    <w:multiLevelType w:val="hybridMultilevel"/>
    <w:tmpl w:val="1FA2E542"/>
    <w:lvl w:ilvl="0" w:tplc="DDB2B2F2">
      <w:start w:val="1"/>
      <w:numFmt w:val="bullet"/>
      <w:lvlText w:val=""/>
      <w:lvlJc w:val="left"/>
      <w:pPr>
        <w:tabs>
          <w:tab w:val="num" w:pos="720"/>
        </w:tabs>
        <w:ind w:left="720" w:hanging="360"/>
      </w:pPr>
      <w:rPr>
        <w:rFonts w:ascii="Symbol" w:hAnsi="Symbol" w:hint="default"/>
      </w:rPr>
    </w:lvl>
    <w:lvl w:ilvl="1" w:tplc="BC023336">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497307F6"/>
    <w:multiLevelType w:val="hybridMultilevel"/>
    <w:tmpl w:val="1B04EA66"/>
    <w:lvl w:ilvl="0" w:tplc="48CC2B9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DC277D"/>
    <w:multiLevelType w:val="hybridMultilevel"/>
    <w:tmpl w:val="5A107CA0"/>
    <w:lvl w:ilvl="0" w:tplc="28BCF6B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2411FB8"/>
    <w:multiLevelType w:val="hybridMultilevel"/>
    <w:tmpl w:val="D62251DC"/>
    <w:lvl w:ilvl="0" w:tplc="74F2CFC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7BA6468"/>
    <w:multiLevelType w:val="hybridMultilevel"/>
    <w:tmpl w:val="55FE8938"/>
    <w:lvl w:ilvl="0" w:tplc="DDB2B2F2">
      <w:start w:val="1"/>
      <w:numFmt w:val="bullet"/>
      <w:lvlText w:val=""/>
      <w:lvlJc w:val="left"/>
      <w:pPr>
        <w:tabs>
          <w:tab w:val="num" w:pos="720"/>
        </w:tabs>
        <w:ind w:left="720" w:hanging="360"/>
      </w:pPr>
      <w:rPr>
        <w:rFonts w:ascii="Symbol" w:hAnsi="Symbol" w:hint="default"/>
      </w:rPr>
    </w:lvl>
    <w:lvl w:ilvl="1" w:tplc="CA92CA4A">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AD04A45"/>
    <w:multiLevelType w:val="hybridMultilevel"/>
    <w:tmpl w:val="17BAB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8"/>
  </w:num>
  <w:num w:numId="12">
    <w:abstractNumId w:val="2"/>
  </w:num>
  <w:num w:numId="13">
    <w:abstractNumId w:val="5"/>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17C84"/>
    <w:rsid w:val="0002140E"/>
    <w:rsid w:val="00033D5A"/>
    <w:rsid w:val="00041F8F"/>
    <w:rsid w:val="00045258"/>
    <w:rsid w:val="00094DCD"/>
    <w:rsid w:val="000A5194"/>
    <w:rsid w:val="000D70AA"/>
    <w:rsid w:val="001066B7"/>
    <w:rsid w:val="00127A81"/>
    <w:rsid w:val="00134433"/>
    <w:rsid w:val="00155988"/>
    <w:rsid w:val="00160D60"/>
    <w:rsid w:val="00177829"/>
    <w:rsid w:val="00177DE5"/>
    <w:rsid w:val="00185740"/>
    <w:rsid w:val="00194020"/>
    <w:rsid w:val="001B113D"/>
    <w:rsid w:val="001B1D49"/>
    <w:rsid w:val="001B3DF1"/>
    <w:rsid w:val="001D04D5"/>
    <w:rsid w:val="001D62E0"/>
    <w:rsid w:val="001F54AE"/>
    <w:rsid w:val="001F75D4"/>
    <w:rsid w:val="002071C3"/>
    <w:rsid w:val="002220AB"/>
    <w:rsid w:val="00233657"/>
    <w:rsid w:val="002364F4"/>
    <w:rsid w:val="0025608E"/>
    <w:rsid w:val="002632BD"/>
    <w:rsid w:val="00271B27"/>
    <w:rsid w:val="00273929"/>
    <w:rsid w:val="002744EE"/>
    <w:rsid w:val="00274F77"/>
    <w:rsid w:val="00282B4A"/>
    <w:rsid w:val="002A1715"/>
    <w:rsid w:val="002A403E"/>
    <w:rsid w:val="002C3850"/>
    <w:rsid w:val="002F4A74"/>
    <w:rsid w:val="002F540A"/>
    <w:rsid w:val="003013B0"/>
    <w:rsid w:val="003050BA"/>
    <w:rsid w:val="00311022"/>
    <w:rsid w:val="00311159"/>
    <w:rsid w:val="0032210C"/>
    <w:rsid w:val="00337C55"/>
    <w:rsid w:val="0035021B"/>
    <w:rsid w:val="00356A08"/>
    <w:rsid w:val="00356AF0"/>
    <w:rsid w:val="00363E0A"/>
    <w:rsid w:val="0036692C"/>
    <w:rsid w:val="00380AE2"/>
    <w:rsid w:val="0038642C"/>
    <w:rsid w:val="00390666"/>
    <w:rsid w:val="003A1204"/>
    <w:rsid w:val="003C103A"/>
    <w:rsid w:val="003D6BB8"/>
    <w:rsid w:val="00400992"/>
    <w:rsid w:val="0040599F"/>
    <w:rsid w:val="004327A2"/>
    <w:rsid w:val="00450BAA"/>
    <w:rsid w:val="00451467"/>
    <w:rsid w:val="00451F31"/>
    <w:rsid w:val="00460C14"/>
    <w:rsid w:val="004756FB"/>
    <w:rsid w:val="00485381"/>
    <w:rsid w:val="004B5567"/>
    <w:rsid w:val="004B69F1"/>
    <w:rsid w:val="004D2D6C"/>
    <w:rsid w:val="004D7136"/>
    <w:rsid w:val="004E4B06"/>
    <w:rsid w:val="005072B8"/>
    <w:rsid w:val="00516A7B"/>
    <w:rsid w:val="005173CA"/>
    <w:rsid w:val="005234B3"/>
    <w:rsid w:val="00547C5C"/>
    <w:rsid w:val="00560B85"/>
    <w:rsid w:val="00564771"/>
    <w:rsid w:val="00566AAC"/>
    <w:rsid w:val="0057008F"/>
    <w:rsid w:val="00572CE9"/>
    <w:rsid w:val="00574FB5"/>
    <w:rsid w:val="005777D3"/>
    <w:rsid w:val="00577B9B"/>
    <w:rsid w:val="00580AD0"/>
    <w:rsid w:val="00594BFC"/>
    <w:rsid w:val="005A7D8E"/>
    <w:rsid w:val="005B2FB6"/>
    <w:rsid w:val="005B40D2"/>
    <w:rsid w:val="005C03C7"/>
    <w:rsid w:val="005E0784"/>
    <w:rsid w:val="005E62C3"/>
    <w:rsid w:val="005F3504"/>
    <w:rsid w:val="00601AFF"/>
    <w:rsid w:val="00612693"/>
    <w:rsid w:val="00623037"/>
    <w:rsid w:val="00627E02"/>
    <w:rsid w:val="00631845"/>
    <w:rsid w:val="0063797F"/>
    <w:rsid w:val="00637A3C"/>
    <w:rsid w:val="00670916"/>
    <w:rsid w:val="00671805"/>
    <w:rsid w:val="00674CF6"/>
    <w:rsid w:val="0067513F"/>
    <w:rsid w:val="006A6E69"/>
    <w:rsid w:val="006A750A"/>
    <w:rsid w:val="006B18C0"/>
    <w:rsid w:val="006B5135"/>
    <w:rsid w:val="006B7173"/>
    <w:rsid w:val="006C0F7C"/>
    <w:rsid w:val="006E1347"/>
    <w:rsid w:val="006E396A"/>
    <w:rsid w:val="006F2509"/>
    <w:rsid w:val="006F6B30"/>
    <w:rsid w:val="00720470"/>
    <w:rsid w:val="007552B0"/>
    <w:rsid w:val="00765D4B"/>
    <w:rsid w:val="007806AD"/>
    <w:rsid w:val="007818D0"/>
    <w:rsid w:val="00787371"/>
    <w:rsid w:val="00794413"/>
    <w:rsid w:val="00797297"/>
    <w:rsid w:val="007A12D0"/>
    <w:rsid w:val="007A32D5"/>
    <w:rsid w:val="007A563C"/>
    <w:rsid w:val="007B3EFB"/>
    <w:rsid w:val="007B6F45"/>
    <w:rsid w:val="007C342C"/>
    <w:rsid w:val="007C5630"/>
    <w:rsid w:val="007C5EF0"/>
    <w:rsid w:val="007E40AE"/>
    <w:rsid w:val="007E6A67"/>
    <w:rsid w:val="00801CCB"/>
    <w:rsid w:val="0080552A"/>
    <w:rsid w:val="0081793D"/>
    <w:rsid w:val="008265D9"/>
    <w:rsid w:val="00850973"/>
    <w:rsid w:val="0085275C"/>
    <w:rsid w:val="00862C2B"/>
    <w:rsid w:val="00872CDE"/>
    <w:rsid w:val="00883074"/>
    <w:rsid w:val="008D41B3"/>
    <w:rsid w:val="008F1411"/>
    <w:rsid w:val="008F5C44"/>
    <w:rsid w:val="008F7A40"/>
    <w:rsid w:val="00901014"/>
    <w:rsid w:val="0091023D"/>
    <w:rsid w:val="009238D7"/>
    <w:rsid w:val="00941D1F"/>
    <w:rsid w:val="0095016C"/>
    <w:rsid w:val="009631EE"/>
    <w:rsid w:val="0096384C"/>
    <w:rsid w:val="0096541E"/>
    <w:rsid w:val="00972EB1"/>
    <w:rsid w:val="009956BD"/>
    <w:rsid w:val="009978F7"/>
    <w:rsid w:val="009A5161"/>
    <w:rsid w:val="009A73C8"/>
    <w:rsid w:val="009B235D"/>
    <w:rsid w:val="009E0205"/>
    <w:rsid w:val="009E569B"/>
    <w:rsid w:val="009F2EAA"/>
    <w:rsid w:val="009F6262"/>
    <w:rsid w:val="00A01D62"/>
    <w:rsid w:val="00A36B05"/>
    <w:rsid w:val="00A37F2C"/>
    <w:rsid w:val="00A40954"/>
    <w:rsid w:val="00A44F72"/>
    <w:rsid w:val="00A616F3"/>
    <w:rsid w:val="00A6349A"/>
    <w:rsid w:val="00A704C1"/>
    <w:rsid w:val="00A75E63"/>
    <w:rsid w:val="00A8485F"/>
    <w:rsid w:val="00A8715A"/>
    <w:rsid w:val="00A8759C"/>
    <w:rsid w:val="00A972C5"/>
    <w:rsid w:val="00AA364E"/>
    <w:rsid w:val="00AA391C"/>
    <w:rsid w:val="00AB46EA"/>
    <w:rsid w:val="00AD4655"/>
    <w:rsid w:val="00AE2444"/>
    <w:rsid w:val="00B07A4C"/>
    <w:rsid w:val="00B132DA"/>
    <w:rsid w:val="00B14B95"/>
    <w:rsid w:val="00B34061"/>
    <w:rsid w:val="00B443F0"/>
    <w:rsid w:val="00B515FD"/>
    <w:rsid w:val="00B544C5"/>
    <w:rsid w:val="00B64438"/>
    <w:rsid w:val="00B73CD9"/>
    <w:rsid w:val="00B7606A"/>
    <w:rsid w:val="00B770CE"/>
    <w:rsid w:val="00B80A26"/>
    <w:rsid w:val="00B932F0"/>
    <w:rsid w:val="00BA01FA"/>
    <w:rsid w:val="00BA1484"/>
    <w:rsid w:val="00BC19E9"/>
    <w:rsid w:val="00BD751B"/>
    <w:rsid w:val="00BD79DD"/>
    <w:rsid w:val="00BE0AE0"/>
    <w:rsid w:val="00BE7742"/>
    <w:rsid w:val="00BF26EC"/>
    <w:rsid w:val="00BF59B2"/>
    <w:rsid w:val="00C020A9"/>
    <w:rsid w:val="00C02DA4"/>
    <w:rsid w:val="00C05656"/>
    <w:rsid w:val="00C07461"/>
    <w:rsid w:val="00C300C0"/>
    <w:rsid w:val="00C33509"/>
    <w:rsid w:val="00C36A95"/>
    <w:rsid w:val="00C42D59"/>
    <w:rsid w:val="00C52319"/>
    <w:rsid w:val="00C52B8E"/>
    <w:rsid w:val="00C7432A"/>
    <w:rsid w:val="00C81805"/>
    <w:rsid w:val="00C8507A"/>
    <w:rsid w:val="00C853A0"/>
    <w:rsid w:val="00C85591"/>
    <w:rsid w:val="00CB3861"/>
    <w:rsid w:val="00CB4065"/>
    <w:rsid w:val="00CE4066"/>
    <w:rsid w:val="00CE5646"/>
    <w:rsid w:val="00D026A6"/>
    <w:rsid w:val="00D16D27"/>
    <w:rsid w:val="00D25413"/>
    <w:rsid w:val="00D25F81"/>
    <w:rsid w:val="00D31434"/>
    <w:rsid w:val="00D363C9"/>
    <w:rsid w:val="00D40FDA"/>
    <w:rsid w:val="00D41FA2"/>
    <w:rsid w:val="00D42E42"/>
    <w:rsid w:val="00D62089"/>
    <w:rsid w:val="00D66A06"/>
    <w:rsid w:val="00D7636F"/>
    <w:rsid w:val="00D77382"/>
    <w:rsid w:val="00D81BEC"/>
    <w:rsid w:val="00D82033"/>
    <w:rsid w:val="00D82E8A"/>
    <w:rsid w:val="00DA35BB"/>
    <w:rsid w:val="00DA4E54"/>
    <w:rsid w:val="00DA5091"/>
    <w:rsid w:val="00DB44BF"/>
    <w:rsid w:val="00DD0325"/>
    <w:rsid w:val="00E003A4"/>
    <w:rsid w:val="00E00597"/>
    <w:rsid w:val="00E036E2"/>
    <w:rsid w:val="00E03D18"/>
    <w:rsid w:val="00E07DBC"/>
    <w:rsid w:val="00E25B84"/>
    <w:rsid w:val="00E30134"/>
    <w:rsid w:val="00E46433"/>
    <w:rsid w:val="00E57332"/>
    <w:rsid w:val="00E6054B"/>
    <w:rsid w:val="00EC3E8F"/>
    <w:rsid w:val="00EE7FEB"/>
    <w:rsid w:val="00EF337D"/>
    <w:rsid w:val="00F00249"/>
    <w:rsid w:val="00F157C5"/>
    <w:rsid w:val="00F36055"/>
    <w:rsid w:val="00F368C8"/>
    <w:rsid w:val="00F5413F"/>
    <w:rsid w:val="00F837FE"/>
    <w:rsid w:val="00F841A3"/>
    <w:rsid w:val="00F90A8A"/>
    <w:rsid w:val="00FA2F9D"/>
    <w:rsid w:val="00FB4391"/>
    <w:rsid w:val="00FB7D66"/>
    <w:rsid w:val="00FC2A7B"/>
    <w:rsid w:val="00FD5CC1"/>
    <w:rsid w:val="00FD75AB"/>
    <w:rsid w:val="00FD7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47227"/>
  <w15:docId w15:val="{1DB2A6BC-69E6-4BDC-BED2-C6060597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1467"/>
    <w:pPr>
      <w:suppressAutoHyphens/>
    </w:pPr>
    <w:rPr>
      <w:sz w:val="24"/>
    </w:rPr>
  </w:style>
  <w:style w:type="paragraph" w:styleId="Nagwek1">
    <w:name w:val="heading 1"/>
    <w:basedOn w:val="Normalny"/>
    <w:next w:val="Normalny"/>
    <w:qFormat/>
    <w:rsid w:val="0045146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5146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51467"/>
    <w:pPr>
      <w:suppressAutoHyphens w:val="0"/>
      <w:spacing w:after="120"/>
    </w:pPr>
    <w:rPr>
      <w:szCs w:val="24"/>
    </w:rPr>
  </w:style>
  <w:style w:type="character" w:customStyle="1" w:styleId="Nagwek2Znak">
    <w:name w:val="Nagłówek 2 Znak"/>
    <w:link w:val="Nagwek2"/>
    <w:rsid w:val="00451467"/>
    <w:rPr>
      <w:rFonts w:ascii="Arial" w:hAnsi="Arial" w:cs="Arial"/>
      <w:b/>
      <w:bCs/>
      <w:i/>
      <w:iCs/>
      <w:sz w:val="28"/>
      <w:szCs w:val="28"/>
      <w:lang w:val="pl-PL" w:bidi="ar-SA"/>
    </w:rPr>
  </w:style>
  <w:style w:type="character" w:customStyle="1" w:styleId="TekstpodstawowyZnak">
    <w:name w:val="Tekst podstawowy Znak"/>
    <w:link w:val="Tekstpodstawowy"/>
    <w:rsid w:val="00451467"/>
    <w:rPr>
      <w:sz w:val="24"/>
      <w:szCs w:val="24"/>
      <w:lang w:val="pl-PL" w:bidi="ar-SA"/>
    </w:rPr>
  </w:style>
  <w:style w:type="paragraph" w:styleId="Nagwek">
    <w:name w:val="header"/>
    <w:basedOn w:val="Normalny"/>
    <w:link w:val="NagwekZnak"/>
    <w:uiPriority w:val="99"/>
    <w:rsid w:val="00451467"/>
    <w:pPr>
      <w:tabs>
        <w:tab w:val="center" w:pos="4536"/>
        <w:tab w:val="right" w:pos="9072"/>
      </w:tabs>
    </w:pPr>
  </w:style>
  <w:style w:type="paragraph" w:styleId="Stopka">
    <w:name w:val="footer"/>
    <w:basedOn w:val="Normalny"/>
    <w:rsid w:val="00451467"/>
    <w:pPr>
      <w:tabs>
        <w:tab w:val="center" w:pos="4536"/>
        <w:tab w:val="right" w:pos="9072"/>
      </w:tabs>
    </w:pPr>
  </w:style>
  <w:style w:type="character" w:customStyle="1" w:styleId="NagwekZnak">
    <w:name w:val="Nagłówek Znak"/>
    <w:link w:val="Nagwek"/>
    <w:uiPriority w:val="99"/>
    <w:rsid w:val="00451467"/>
    <w:rPr>
      <w:sz w:val="24"/>
      <w:lang w:val="pl-PL" w:bidi="ar-SA"/>
    </w:rPr>
  </w:style>
  <w:style w:type="character" w:styleId="Numerstrony">
    <w:name w:val="page number"/>
    <w:basedOn w:val="Domylnaczcionkaakapitu"/>
    <w:rsid w:val="00451467"/>
  </w:style>
  <w:style w:type="paragraph" w:styleId="Tekstdymka">
    <w:name w:val="Balloon Text"/>
    <w:basedOn w:val="Normalny"/>
    <w:semiHidden/>
    <w:rsid w:val="008F1411"/>
    <w:rPr>
      <w:rFonts w:ascii="Tahoma" w:hAnsi="Tahoma" w:cs="Tahoma"/>
      <w:sz w:val="16"/>
      <w:szCs w:val="16"/>
    </w:rPr>
  </w:style>
  <w:style w:type="paragraph" w:styleId="Akapitzlist">
    <w:name w:val="List Paragraph"/>
    <w:basedOn w:val="Normalny"/>
    <w:uiPriority w:val="34"/>
    <w:qFormat/>
    <w:rsid w:val="008F7A40"/>
    <w:pPr>
      <w:suppressAutoHyphens w:val="0"/>
      <w:spacing w:line="360" w:lineRule="auto"/>
      <w:ind w:left="720"/>
      <w:contextualSpacing/>
      <w:jc w:val="both"/>
    </w:pPr>
    <w:rPr>
      <w:rFonts w:ascii="Calibri" w:eastAsia="Calibri" w:hAnsi="Calibri"/>
      <w:sz w:val="22"/>
      <w:szCs w:val="22"/>
      <w:lang w:eastAsia="en-US"/>
    </w:rPr>
  </w:style>
  <w:style w:type="character" w:styleId="Odwoaniedokomentarza">
    <w:name w:val="annotation reference"/>
    <w:rsid w:val="00E25B84"/>
    <w:rPr>
      <w:sz w:val="16"/>
      <w:szCs w:val="16"/>
    </w:rPr>
  </w:style>
  <w:style w:type="paragraph" w:styleId="Tekstkomentarza">
    <w:name w:val="annotation text"/>
    <w:basedOn w:val="Normalny"/>
    <w:link w:val="TekstkomentarzaZnak"/>
    <w:rsid w:val="00E25B84"/>
    <w:rPr>
      <w:sz w:val="20"/>
    </w:rPr>
  </w:style>
  <w:style w:type="character" w:customStyle="1" w:styleId="TekstkomentarzaZnak">
    <w:name w:val="Tekst komentarza Znak"/>
    <w:link w:val="Tekstkomentarza"/>
    <w:rsid w:val="00E25B84"/>
  </w:style>
  <w:style w:type="paragraph" w:styleId="Tematkomentarza">
    <w:name w:val="annotation subject"/>
    <w:basedOn w:val="Tekstkomentarza"/>
    <w:next w:val="Tekstkomentarza"/>
    <w:link w:val="TematkomentarzaZnak"/>
    <w:rsid w:val="00E25B84"/>
    <w:rPr>
      <w:b/>
      <w:bCs/>
    </w:rPr>
  </w:style>
  <w:style w:type="character" w:customStyle="1" w:styleId="TematkomentarzaZnak">
    <w:name w:val="Temat komentarza Znak"/>
    <w:link w:val="Tematkomentarza"/>
    <w:rsid w:val="00E25B84"/>
    <w:rPr>
      <w:b/>
      <w:bCs/>
    </w:rPr>
  </w:style>
  <w:style w:type="paragraph" w:styleId="Poprawka">
    <w:name w:val="Revision"/>
    <w:hidden/>
    <w:uiPriority w:val="99"/>
    <w:semiHidden/>
    <w:rsid w:val="005A7D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52862">
      <w:bodyDiv w:val="1"/>
      <w:marLeft w:val="0"/>
      <w:marRight w:val="0"/>
      <w:marTop w:val="0"/>
      <w:marBottom w:val="0"/>
      <w:divBdr>
        <w:top w:val="none" w:sz="0" w:space="0" w:color="auto"/>
        <w:left w:val="none" w:sz="0" w:space="0" w:color="auto"/>
        <w:bottom w:val="none" w:sz="0" w:space="0" w:color="auto"/>
        <w:right w:val="none" w:sz="0" w:space="0" w:color="auto"/>
      </w:divBdr>
    </w:div>
    <w:div w:id="284890440">
      <w:bodyDiv w:val="1"/>
      <w:marLeft w:val="0"/>
      <w:marRight w:val="0"/>
      <w:marTop w:val="0"/>
      <w:marBottom w:val="0"/>
      <w:divBdr>
        <w:top w:val="none" w:sz="0" w:space="0" w:color="auto"/>
        <w:left w:val="none" w:sz="0" w:space="0" w:color="auto"/>
        <w:bottom w:val="none" w:sz="0" w:space="0" w:color="auto"/>
        <w:right w:val="none" w:sz="0" w:space="0" w:color="auto"/>
      </w:divBdr>
    </w:div>
    <w:div w:id="451291147">
      <w:bodyDiv w:val="1"/>
      <w:marLeft w:val="0"/>
      <w:marRight w:val="0"/>
      <w:marTop w:val="0"/>
      <w:marBottom w:val="0"/>
      <w:divBdr>
        <w:top w:val="none" w:sz="0" w:space="0" w:color="auto"/>
        <w:left w:val="none" w:sz="0" w:space="0" w:color="auto"/>
        <w:bottom w:val="none" w:sz="0" w:space="0" w:color="auto"/>
        <w:right w:val="none" w:sz="0" w:space="0" w:color="auto"/>
      </w:divBdr>
    </w:div>
    <w:div w:id="509415230">
      <w:bodyDiv w:val="1"/>
      <w:marLeft w:val="0"/>
      <w:marRight w:val="0"/>
      <w:marTop w:val="0"/>
      <w:marBottom w:val="0"/>
      <w:divBdr>
        <w:top w:val="none" w:sz="0" w:space="0" w:color="auto"/>
        <w:left w:val="none" w:sz="0" w:space="0" w:color="auto"/>
        <w:bottom w:val="none" w:sz="0" w:space="0" w:color="auto"/>
        <w:right w:val="none" w:sz="0" w:space="0" w:color="auto"/>
      </w:divBdr>
    </w:div>
    <w:div w:id="591742122">
      <w:bodyDiv w:val="1"/>
      <w:marLeft w:val="0"/>
      <w:marRight w:val="0"/>
      <w:marTop w:val="0"/>
      <w:marBottom w:val="0"/>
      <w:divBdr>
        <w:top w:val="none" w:sz="0" w:space="0" w:color="auto"/>
        <w:left w:val="none" w:sz="0" w:space="0" w:color="auto"/>
        <w:bottom w:val="none" w:sz="0" w:space="0" w:color="auto"/>
        <w:right w:val="none" w:sz="0" w:space="0" w:color="auto"/>
      </w:divBdr>
    </w:div>
    <w:div w:id="718013436">
      <w:bodyDiv w:val="1"/>
      <w:marLeft w:val="0"/>
      <w:marRight w:val="0"/>
      <w:marTop w:val="0"/>
      <w:marBottom w:val="0"/>
      <w:divBdr>
        <w:top w:val="none" w:sz="0" w:space="0" w:color="auto"/>
        <w:left w:val="none" w:sz="0" w:space="0" w:color="auto"/>
        <w:bottom w:val="none" w:sz="0" w:space="0" w:color="auto"/>
        <w:right w:val="none" w:sz="0" w:space="0" w:color="auto"/>
      </w:divBdr>
    </w:div>
    <w:div w:id="925654218">
      <w:bodyDiv w:val="1"/>
      <w:marLeft w:val="0"/>
      <w:marRight w:val="0"/>
      <w:marTop w:val="0"/>
      <w:marBottom w:val="0"/>
      <w:divBdr>
        <w:top w:val="none" w:sz="0" w:space="0" w:color="auto"/>
        <w:left w:val="none" w:sz="0" w:space="0" w:color="auto"/>
        <w:bottom w:val="none" w:sz="0" w:space="0" w:color="auto"/>
        <w:right w:val="none" w:sz="0" w:space="0" w:color="auto"/>
      </w:divBdr>
    </w:div>
    <w:div w:id="1100294265">
      <w:bodyDiv w:val="1"/>
      <w:marLeft w:val="0"/>
      <w:marRight w:val="0"/>
      <w:marTop w:val="0"/>
      <w:marBottom w:val="0"/>
      <w:divBdr>
        <w:top w:val="none" w:sz="0" w:space="0" w:color="auto"/>
        <w:left w:val="none" w:sz="0" w:space="0" w:color="auto"/>
        <w:bottom w:val="none" w:sz="0" w:space="0" w:color="auto"/>
        <w:right w:val="none" w:sz="0" w:space="0" w:color="auto"/>
      </w:divBdr>
    </w:div>
    <w:div w:id="1653755163">
      <w:bodyDiv w:val="1"/>
      <w:marLeft w:val="0"/>
      <w:marRight w:val="0"/>
      <w:marTop w:val="0"/>
      <w:marBottom w:val="0"/>
      <w:divBdr>
        <w:top w:val="none" w:sz="0" w:space="0" w:color="auto"/>
        <w:left w:val="none" w:sz="0" w:space="0" w:color="auto"/>
        <w:bottom w:val="none" w:sz="0" w:space="0" w:color="auto"/>
        <w:right w:val="none" w:sz="0" w:space="0" w:color="auto"/>
      </w:divBdr>
    </w:div>
    <w:div w:id="2051882732">
      <w:bodyDiv w:val="1"/>
      <w:marLeft w:val="0"/>
      <w:marRight w:val="0"/>
      <w:marTop w:val="0"/>
      <w:marBottom w:val="0"/>
      <w:divBdr>
        <w:top w:val="none" w:sz="0" w:space="0" w:color="auto"/>
        <w:left w:val="none" w:sz="0" w:space="0" w:color="auto"/>
        <w:bottom w:val="none" w:sz="0" w:space="0" w:color="auto"/>
        <w:right w:val="none" w:sz="0" w:space="0" w:color="auto"/>
      </w:divBdr>
    </w:div>
    <w:div w:id="21263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2230</Words>
  <Characters>13385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Załącznik nr 3</vt:lpstr>
    </vt:vector>
  </TitlesOfParts>
  <Company>ppp</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ppp</dc:creator>
  <cp:keywords/>
  <cp:lastModifiedBy>Jakub Wierdak</cp:lastModifiedBy>
  <cp:revision>8</cp:revision>
  <cp:lastPrinted>2021-02-22T08:35:00Z</cp:lastPrinted>
  <dcterms:created xsi:type="dcterms:W3CDTF">2021-02-22T08:27:00Z</dcterms:created>
  <dcterms:modified xsi:type="dcterms:W3CDTF">2021-02-24T07:36:00Z</dcterms:modified>
</cp:coreProperties>
</file>